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5E" w:rsidRPr="00AF6CF6" w:rsidRDefault="00AF6CF6" w:rsidP="00BE0B5E">
      <w:pPr>
        <w:jc w:val="center"/>
        <w:rPr>
          <w:rFonts w:ascii="Arial" w:hAnsi="Arial" w:cs="Arial"/>
          <w:sz w:val="28"/>
          <w:szCs w:val="28"/>
        </w:rPr>
      </w:pPr>
      <w:bookmarkStart w:id="0" w:name="_GoBack"/>
      <w:bookmarkEnd w:id="0"/>
      <w:r w:rsidRPr="00AF6CF6">
        <w:rPr>
          <w:rFonts w:ascii="Arial" w:hAnsi="Arial" w:cs="Arial"/>
          <w:sz w:val="28"/>
          <w:szCs w:val="28"/>
        </w:rPr>
        <w:t>Μεταδιδακτορικής Έρευνας με τίτλο</w:t>
      </w:r>
    </w:p>
    <w:p w:rsidR="00AF6CF6" w:rsidRPr="00AF6CF6" w:rsidRDefault="00AF6CF6" w:rsidP="00BE0B5E">
      <w:pPr>
        <w:jc w:val="center"/>
        <w:rPr>
          <w:rFonts w:ascii="Arial" w:hAnsi="Arial" w:cs="Arial"/>
          <w:b/>
          <w:sz w:val="16"/>
          <w:szCs w:val="16"/>
        </w:rPr>
      </w:pPr>
    </w:p>
    <w:p w:rsidR="00BE0B5E" w:rsidRPr="00AF6CF6" w:rsidRDefault="00AF6CF6" w:rsidP="00AF6CF6">
      <w:pPr>
        <w:jc w:val="center"/>
        <w:rPr>
          <w:rFonts w:ascii="Arial" w:hAnsi="Arial" w:cs="Arial"/>
          <w:b/>
          <w:sz w:val="28"/>
          <w:szCs w:val="28"/>
        </w:rPr>
      </w:pPr>
      <w:r>
        <w:rPr>
          <w:rFonts w:ascii="Arial" w:hAnsi="Arial" w:cs="Arial"/>
          <w:b/>
          <w:sz w:val="28"/>
          <w:szCs w:val="28"/>
        </w:rPr>
        <w:t>«</w:t>
      </w:r>
      <w:r w:rsidR="00BE0B5E" w:rsidRPr="00AF6CF6">
        <w:rPr>
          <w:rFonts w:ascii="Arial" w:hAnsi="Arial" w:cs="Arial"/>
          <w:b/>
          <w:sz w:val="28"/>
          <w:szCs w:val="28"/>
        </w:rPr>
        <w:t>Ανάπτυξη, αξιολόγηση και κλινική εφαρμογή νέας μεθόδου ανίχνευσης ελάχιστης υπολειπόμενης νόσου (</w:t>
      </w:r>
      <w:r w:rsidR="00BE0B5E" w:rsidRPr="00AF6CF6">
        <w:rPr>
          <w:rFonts w:ascii="Arial" w:hAnsi="Arial" w:cs="Arial"/>
          <w:b/>
          <w:sz w:val="28"/>
          <w:szCs w:val="28"/>
          <w:lang w:val="en-US"/>
        </w:rPr>
        <w:t>MRD</w:t>
      </w:r>
      <w:r w:rsidR="00BE0B5E" w:rsidRPr="00AF6CF6">
        <w:rPr>
          <w:rFonts w:ascii="Arial" w:hAnsi="Arial" w:cs="Arial"/>
          <w:b/>
          <w:sz w:val="28"/>
          <w:szCs w:val="28"/>
        </w:rPr>
        <w:t>) σε ασθενείς με Πολλαπλούν Μυέλωμα με τη χρήση πολυχρωματικής Κυτταρομετρίας Ροής</w:t>
      </w:r>
      <w:r>
        <w:rPr>
          <w:rFonts w:ascii="Arial" w:hAnsi="Arial" w:cs="Arial"/>
          <w:b/>
          <w:sz w:val="28"/>
          <w:szCs w:val="28"/>
        </w:rPr>
        <w:t>»</w:t>
      </w:r>
    </w:p>
    <w:p w:rsidR="00BE0B5E" w:rsidRPr="00DF7176" w:rsidRDefault="00BE0B5E" w:rsidP="00BE0B5E">
      <w:pPr>
        <w:jc w:val="center"/>
        <w:rPr>
          <w:sz w:val="24"/>
          <w:szCs w:val="24"/>
        </w:rPr>
      </w:pPr>
    </w:p>
    <w:p w:rsidR="00717321" w:rsidRPr="00173578" w:rsidRDefault="00717321" w:rsidP="00BE0B5E">
      <w:pPr>
        <w:jc w:val="center"/>
        <w:rPr>
          <w:rFonts w:ascii="Arial" w:hAnsi="Arial" w:cs="Arial"/>
          <w:sz w:val="28"/>
          <w:szCs w:val="28"/>
        </w:rPr>
      </w:pPr>
      <w:r w:rsidRPr="00173578">
        <w:rPr>
          <w:rFonts w:ascii="Arial" w:hAnsi="Arial" w:cs="Arial"/>
          <w:sz w:val="28"/>
          <w:szCs w:val="28"/>
        </w:rPr>
        <w:t>του υποτρόφου</w:t>
      </w:r>
    </w:p>
    <w:p w:rsidR="00717321" w:rsidRPr="00717321" w:rsidRDefault="00717321" w:rsidP="00BE0B5E">
      <w:pPr>
        <w:jc w:val="center"/>
        <w:rPr>
          <w:rFonts w:ascii="Arial" w:hAnsi="Arial" w:cs="Arial"/>
          <w:b/>
          <w:sz w:val="28"/>
          <w:szCs w:val="28"/>
        </w:rPr>
      </w:pPr>
    </w:p>
    <w:p w:rsidR="00717321" w:rsidRPr="00717321" w:rsidRDefault="00717321" w:rsidP="00BE0B5E">
      <w:pPr>
        <w:jc w:val="center"/>
        <w:rPr>
          <w:rFonts w:ascii="Arial" w:hAnsi="Arial" w:cs="Arial"/>
          <w:b/>
          <w:sz w:val="28"/>
          <w:szCs w:val="28"/>
        </w:rPr>
      </w:pPr>
      <w:r w:rsidRPr="00717321">
        <w:rPr>
          <w:rFonts w:ascii="Arial" w:hAnsi="Arial" w:cs="Arial"/>
          <w:b/>
          <w:sz w:val="28"/>
          <w:szCs w:val="28"/>
        </w:rPr>
        <w:t>Ιωάννη Κωστόπουλου</w:t>
      </w:r>
    </w:p>
    <w:p w:rsidR="00717321" w:rsidRPr="00DF7176" w:rsidRDefault="00717321" w:rsidP="00BE0B5E">
      <w:pPr>
        <w:jc w:val="center"/>
        <w:rPr>
          <w:rFonts w:ascii="Arial" w:hAnsi="Arial" w:cs="Arial"/>
          <w:b/>
          <w:sz w:val="28"/>
          <w:szCs w:val="28"/>
        </w:rPr>
      </w:pPr>
      <w:r w:rsidRPr="00717321">
        <w:rPr>
          <w:rFonts w:ascii="Arial" w:hAnsi="Arial" w:cs="Arial"/>
          <w:b/>
          <w:sz w:val="28"/>
          <w:szCs w:val="28"/>
        </w:rPr>
        <w:t xml:space="preserve">Βιολόγου, </w:t>
      </w:r>
      <w:r w:rsidR="00173578">
        <w:rPr>
          <w:rFonts w:ascii="Arial" w:hAnsi="Arial" w:cs="Arial"/>
          <w:b/>
          <w:sz w:val="28"/>
          <w:szCs w:val="28"/>
          <w:lang w:val="en-US"/>
        </w:rPr>
        <w:t>MSc</w:t>
      </w:r>
      <w:r w:rsidR="00173578" w:rsidRPr="00DF7176">
        <w:rPr>
          <w:rFonts w:ascii="Arial" w:hAnsi="Arial" w:cs="Arial"/>
          <w:b/>
          <w:sz w:val="28"/>
          <w:szCs w:val="28"/>
        </w:rPr>
        <w:t xml:space="preserve">, </w:t>
      </w:r>
      <w:r w:rsidR="00173578">
        <w:rPr>
          <w:rFonts w:ascii="Arial" w:hAnsi="Arial" w:cs="Arial"/>
          <w:b/>
          <w:sz w:val="28"/>
          <w:szCs w:val="28"/>
          <w:lang w:val="en-US"/>
        </w:rPr>
        <w:t>PhD</w:t>
      </w:r>
    </w:p>
    <w:p w:rsidR="00717321" w:rsidRPr="00DF7176" w:rsidRDefault="00717321" w:rsidP="00BE0B5E">
      <w:pPr>
        <w:jc w:val="center"/>
        <w:rPr>
          <w:b/>
          <w:sz w:val="24"/>
          <w:szCs w:val="24"/>
        </w:rPr>
      </w:pPr>
    </w:p>
    <w:p w:rsidR="00717321" w:rsidRPr="00173578" w:rsidRDefault="00717321" w:rsidP="00173578">
      <w:pPr>
        <w:rPr>
          <w:b/>
          <w:sz w:val="24"/>
          <w:szCs w:val="24"/>
        </w:rPr>
      </w:pPr>
    </w:p>
    <w:p w:rsidR="00173578" w:rsidRPr="00173578" w:rsidRDefault="00173578" w:rsidP="00173578">
      <w:pPr>
        <w:jc w:val="center"/>
        <w:rPr>
          <w:rFonts w:ascii="Arial" w:hAnsi="Arial" w:cs="Arial"/>
          <w:b/>
          <w:sz w:val="24"/>
          <w:szCs w:val="24"/>
        </w:rPr>
      </w:pPr>
      <w:r>
        <w:rPr>
          <w:rFonts w:ascii="Arial" w:hAnsi="Arial" w:cs="Arial"/>
          <w:b/>
          <w:sz w:val="24"/>
          <w:szCs w:val="24"/>
        </w:rPr>
        <w:t>Επιστημονική Υπεύ</w:t>
      </w:r>
      <w:r w:rsidRPr="00173578">
        <w:rPr>
          <w:rFonts w:ascii="Arial" w:hAnsi="Arial" w:cs="Arial"/>
          <w:b/>
          <w:sz w:val="24"/>
          <w:szCs w:val="24"/>
        </w:rPr>
        <w:t>θυνη</w:t>
      </w:r>
    </w:p>
    <w:p w:rsidR="00173578" w:rsidRPr="00173578" w:rsidRDefault="00173578" w:rsidP="00173578">
      <w:pPr>
        <w:jc w:val="center"/>
        <w:rPr>
          <w:rFonts w:ascii="Arial" w:hAnsi="Arial" w:cs="Arial"/>
          <w:b/>
          <w:sz w:val="24"/>
          <w:szCs w:val="24"/>
        </w:rPr>
      </w:pPr>
      <w:r w:rsidRPr="00173578">
        <w:rPr>
          <w:rFonts w:ascii="Arial" w:hAnsi="Arial" w:cs="Arial"/>
          <w:b/>
          <w:sz w:val="24"/>
          <w:szCs w:val="24"/>
        </w:rPr>
        <w:t>Ουρανία Τσιτσιλώνη, Μ</w:t>
      </w:r>
      <w:r w:rsidRPr="00173578">
        <w:rPr>
          <w:rFonts w:ascii="Arial" w:hAnsi="Arial" w:cs="Arial"/>
          <w:b/>
          <w:sz w:val="24"/>
          <w:szCs w:val="24"/>
          <w:lang w:val="en-US"/>
        </w:rPr>
        <w:t>D</w:t>
      </w:r>
      <w:r w:rsidRPr="00173578">
        <w:rPr>
          <w:rFonts w:ascii="Arial" w:hAnsi="Arial" w:cs="Arial"/>
          <w:b/>
          <w:sz w:val="24"/>
          <w:szCs w:val="24"/>
        </w:rPr>
        <w:t xml:space="preserve">, </w:t>
      </w:r>
      <w:r w:rsidRPr="00173578">
        <w:rPr>
          <w:rFonts w:ascii="Arial" w:hAnsi="Arial" w:cs="Arial"/>
          <w:b/>
          <w:sz w:val="24"/>
          <w:szCs w:val="24"/>
          <w:lang w:val="en-US"/>
        </w:rPr>
        <w:t>PhD</w:t>
      </w:r>
    </w:p>
    <w:p w:rsidR="00173578" w:rsidRPr="00173578" w:rsidRDefault="00173578" w:rsidP="00173578">
      <w:pPr>
        <w:jc w:val="center"/>
        <w:rPr>
          <w:rFonts w:ascii="Arial" w:hAnsi="Arial" w:cs="Arial"/>
          <w:b/>
          <w:sz w:val="24"/>
          <w:szCs w:val="24"/>
        </w:rPr>
      </w:pPr>
      <w:r>
        <w:rPr>
          <w:rFonts w:ascii="Arial" w:hAnsi="Arial" w:cs="Arial"/>
          <w:b/>
          <w:sz w:val="24"/>
          <w:szCs w:val="24"/>
        </w:rPr>
        <w:t>Αναπληρώτρια</w:t>
      </w:r>
      <w:r w:rsidRPr="00173578">
        <w:rPr>
          <w:rFonts w:ascii="Arial" w:hAnsi="Arial" w:cs="Arial"/>
          <w:b/>
          <w:sz w:val="24"/>
          <w:szCs w:val="24"/>
        </w:rPr>
        <w:t xml:space="preserve"> Καθηγήτρια Ανοσολογίας</w:t>
      </w:r>
    </w:p>
    <w:p w:rsidR="00AF6CF6" w:rsidRDefault="00AF6CF6" w:rsidP="00173578">
      <w:pPr>
        <w:rPr>
          <w:rFonts w:ascii="Arial" w:hAnsi="Arial" w:cs="Arial"/>
          <w:b/>
          <w:sz w:val="24"/>
          <w:szCs w:val="24"/>
        </w:rPr>
      </w:pPr>
    </w:p>
    <w:p w:rsidR="00173578" w:rsidRDefault="00173578" w:rsidP="00173578">
      <w:pPr>
        <w:rPr>
          <w:rFonts w:ascii="Arial" w:hAnsi="Arial" w:cs="Arial"/>
          <w:b/>
          <w:sz w:val="24"/>
          <w:szCs w:val="24"/>
        </w:rPr>
      </w:pPr>
    </w:p>
    <w:p w:rsidR="00173578" w:rsidRDefault="00173578" w:rsidP="00173578">
      <w:pPr>
        <w:rPr>
          <w:b/>
          <w:sz w:val="24"/>
          <w:szCs w:val="24"/>
        </w:rPr>
      </w:pPr>
    </w:p>
    <w:p w:rsidR="00173578" w:rsidRPr="00173578" w:rsidRDefault="00173578" w:rsidP="00173578">
      <w:pPr>
        <w:rPr>
          <w:b/>
          <w:sz w:val="24"/>
          <w:szCs w:val="24"/>
        </w:rPr>
      </w:pPr>
    </w:p>
    <w:p w:rsidR="00173578" w:rsidRPr="00173578" w:rsidRDefault="00173578" w:rsidP="00BE0B5E">
      <w:pPr>
        <w:jc w:val="center"/>
        <w:rPr>
          <w:b/>
          <w:sz w:val="24"/>
          <w:szCs w:val="24"/>
        </w:rPr>
      </w:pPr>
    </w:p>
    <w:p w:rsidR="00BE0B5E" w:rsidRPr="00173578" w:rsidRDefault="00AF6CF6" w:rsidP="00173578">
      <w:pPr>
        <w:jc w:val="center"/>
        <w:rPr>
          <w:rFonts w:ascii="Arial" w:hAnsi="Arial" w:cs="Arial"/>
          <w:b/>
          <w:sz w:val="28"/>
          <w:szCs w:val="28"/>
        </w:rPr>
      </w:pPr>
      <w:r>
        <w:rPr>
          <w:rFonts w:ascii="Arial" w:hAnsi="Arial" w:cs="Arial"/>
          <w:b/>
          <w:sz w:val="28"/>
          <w:szCs w:val="28"/>
        </w:rPr>
        <w:t>Πρόγραμμα Χορήγησης Υποτροφιών ΙΚΥ στο πλαίσιο της Πράξης «Ενίσχυση μεταδιδακτόρων ερευνητών/ερευνητριών (</w:t>
      </w:r>
      <w:r>
        <w:rPr>
          <w:rFonts w:ascii="Arial" w:hAnsi="Arial" w:cs="Arial"/>
          <w:b/>
          <w:sz w:val="28"/>
          <w:szCs w:val="28"/>
          <w:lang w:val="en-US"/>
        </w:rPr>
        <w:t>MIS</w:t>
      </w:r>
      <w:r w:rsidRPr="00AF6CF6">
        <w:rPr>
          <w:rFonts w:ascii="Arial" w:hAnsi="Arial" w:cs="Arial"/>
          <w:b/>
          <w:sz w:val="28"/>
          <w:szCs w:val="28"/>
        </w:rPr>
        <w:t xml:space="preserve"> 5001552) </w:t>
      </w:r>
      <w:r>
        <w:rPr>
          <w:rFonts w:ascii="Arial" w:hAnsi="Arial" w:cs="Arial"/>
          <w:b/>
          <w:sz w:val="28"/>
          <w:szCs w:val="28"/>
        </w:rPr>
        <w:t>του Επιχειρησιακού Προγράμματος «Ανάπτυξη Ανθρώπινου Δυναμικού, Εκπαίδευση και Διά Βίου Μάθηση» του ΕΣΠΑ (2014-2020)</w:t>
      </w:r>
    </w:p>
    <w:p w:rsidR="00BE0B5E" w:rsidRPr="00D84351" w:rsidRDefault="00BE0B5E" w:rsidP="00BE0B5E">
      <w:pPr>
        <w:jc w:val="center"/>
        <w:rPr>
          <w:rFonts w:ascii="Arial" w:hAnsi="Arial" w:cs="Arial"/>
          <w:b/>
          <w:sz w:val="28"/>
          <w:szCs w:val="28"/>
        </w:rPr>
      </w:pPr>
      <w:r w:rsidRPr="00D84351">
        <w:rPr>
          <w:rFonts w:ascii="Arial" w:hAnsi="Arial" w:cs="Arial"/>
          <w:b/>
          <w:sz w:val="28"/>
          <w:szCs w:val="28"/>
        </w:rPr>
        <w:t>Ε</w:t>
      </w:r>
      <w:r w:rsidR="00D84351" w:rsidRPr="00D84351">
        <w:rPr>
          <w:rFonts w:ascii="Arial" w:hAnsi="Arial" w:cs="Arial"/>
          <w:b/>
          <w:sz w:val="28"/>
          <w:szCs w:val="28"/>
        </w:rPr>
        <w:t>ισαγωγή – Θεωρητικό Πλαίσιο</w:t>
      </w:r>
    </w:p>
    <w:p w:rsidR="004C4A97" w:rsidRPr="001C3891" w:rsidRDefault="00BE0B5E" w:rsidP="004C4A97">
      <w:pPr>
        <w:spacing w:after="0" w:line="360" w:lineRule="auto"/>
        <w:jc w:val="both"/>
      </w:pPr>
      <w:r w:rsidRPr="00BE0B5E">
        <w:rPr>
          <w:rFonts w:ascii="Times New Roman" w:hAnsi="Times New Roman" w:cs="Times New Roman"/>
          <w:sz w:val="24"/>
          <w:szCs w:val="24"/>
        </w:rPr>
        <w:lastRenderedPageBreak/>
        <w:t>Το Πολλαπλούν Μυέλωμα (ΠΜ) αποτελεί τη δεύτερη πιο συχνή αιματολογική κακοήθεια με κύρια χαρακτηριστικά τη συσσώρευση κλωνικών πλασ</w:t>
      </w:r>
      <w:r w:rsidR="00C32987">
        <w:rPr>
          <w:rFonts w:ascii="Times New Roman" w:hAnsi="Times New Roman" w:cs="Times New Roman"/>
          <w:sz w:val="24"/>
          <w:szCs w:val="24"/>
        </w:rPr>
        <w:t>ματοκυττάρων στο μυελό των οστών, τα οποία δημιουργούν διαταραχές στη φυσιολογική αιμοποιητική διαδικασία,</w:t>
      </w:r>
      <w:r w:rsidRPr="00BE0B5E">
        <w:rPr>
          <w:rFonts w:ascii="Times New Roman" w:hAnsi="Times New Roman" w:cs="Times New Roman"/>
          <w:sz w:val="24"/>
          <w:szCs w:val="24"/>
        </w:rPr>
        <w:t xml:space="preserve"> </w:t>
      </w:r>
      <w:r w:rsidRPr="002B2959">
        <w:rPr>
          <w:rFonts w:ascii="Times New Roman" w:hAnsi="Times New Roman" w:cs="Times New Roman"/>
          <w:sz w:val="24"/>
          <w:szCs w:val="24"/>
        </w:rPr>
        <w:t>και τη παραγωγή μεγάλων</w:t>
      </w:r>
      <w:r w:rsidR="002B2959">
        <w:rPr>
          <w:rFonts w:ascii="Times New Roman" w:hAnsi="Times New Roman" w:cs="Times New Roman"/>
          <w:sz w:val="24"/>
          <w:szCs w:val="24"/>
        </w:rPr>
        <w:t xml:space="preserve"> μονοκλωνικής ανοσοσφαιρίνης</w:t>
      </w:r>
      <w:r w:rsidRPr="002B2959">
        <w:rPr>
          <w:rFonts w:ascii="Times New Roman" w:hAnsi="Times New Roman" w:cs="Times New Roman"/>
          <w:sz w:val="24"/>
          <w:szCs w:val="24"/>
        </w:rPr>
        <w:t xml:space="preserve"> </w:t>
      </w:r>
      <w:r w:rsidR="002B2959">
        <w:rPr>
          <w:rFonts w:ascii="Times New Roman" w:hAnsi="Times New Roman" w:cs="Times New Roman"/>
          <w:sz w:val="24"/>
          <w:szCs w:val="24"/>
        </w:rPr>
        <w:t>(</w:t>
      </w:r>
      <w:r w:rsidRPr="002B2959">
        <w:rPr>
          <w:rFonts w:ascii="Times New Roman" w:hAnsi="Times New Roman" w:cs="Times New Roman"/>
          <w:sz w:val="24"/>
          <w:szCs w:val="24"/>
        </w:rPr>
        <w:t>παραπρωτεΐνης</w:t>
      </w:r>
      <w:r w:rsidR="002B2959">
        <w:rPr>
          <w:rFonts w:ascii="Times New Roman" w:hAnsi="Times New Roman" w:cs="Times New Roman"/>
          <w:sz w:val="24"/>
          <w:szCs w:val="24"/>
        </w:rPr>
        <w:t>)</w:t>
      </w:r>
      <w:r w:rsidRPr="002B2959">
        <w:rPr>
          <w:rFonts w:ascii="Times New Roman" w:hAnsi="Times New Roman" w:cs="Times New Roman"/>
          <w:sz w:val="24"/>
          <w:szCs w:val="24"/>
        </w:rPr>
        <w:t xml:space="preserve"> στον ορό ή/και τα ούρα.</w:t>
      </w:r>
      <w:r w:rsidRPr="002B2959">
        <w:rPr>
          <w:rFonts w:ascii="Times New Roman" w:hAnsi="Times New Roman" w:cs="Times New Roman"/>
          <w:sz w:val="24"/>
          <w:szCs w:val="24"/>
          <w:vertAlign w:val="superscript"/>
        </w:rPr>
        <w:t>1,2</w:t>
      </w:r>
      <w:r w:rsidRPr="002B2959">
        <w:rPr>
          <w:rFonts w:ascii="Times New Roman" w:hAnsi="Times New Roman" w:cs="Times New Roman"/>
          <w:sz w:val="24"/>
          <w:szCs w:val="24"/>
        </w:rPr>
        <w:t xml:space="preserve"> </w:t>
      </w:r>
      <w:r w:rsidR="002B2959" w:rsidRPr="002B2959">
        <w:rPr>
          <w:rFonts w:ascii="Times New Roman" w:hAnsi="Times New Roman" w:cs="Times New Roman"/>
          <w:sz w:val="24"/>
          <w:szCs w:val="24"/>
        </w:rPr>
        <w:t>Πρόσθετα κλινικά συμπτώματα της νόσου αφορούν</w:t>
      </w:r>
      <w:r w:rsidR="002B2959">
        <w:rPr>
          <w:rFonts w:ascii="Times New Roman" w:hAnsi="Times New Roman" w:cs="Times New Roman"/>
          <w:sz w:val="24"/>
          <w:szCs w:val="24"/>
        </w:rPr>
        <w:t xml:space="preserve"> οι</w:t>
      </w:r>
      <w:r w:rsidR="002B2959" w:rsidRPr="002B2959">
        <w:rPr>
          <w:rFonts w:ascii="Times New Roman" w:hAnsi="Times New Roman" w:cs="Times New Roman"/>
          <w:sz w:val="24"/>
          <w:szCs w:val="24"/>
        </w:rPr>
        <w:t xml:space="preserve"> επώδυνες οστεολυτικές βλάβες,</w:t>
      </w:r>
      <w:r w:rsidR="002B2959">
        <w:rPr>
          <w:rFonts w:ascii="Times New Roman" w:hAnsi="Times New Roman" w:cs="Times New Roman"/>
          <w:sz w:val="24"/>
          <w:szCs w:val="24"/>
        </w:rPr>
        <w:t xml:space="preserve"> η</w:t>
      </w:r>
      <w:r w:rsidR="002B2959" w:rsidRPr="002B2959">
        <w:rPr>
          <w:rFonts w:ascii="Times New Roman" w:hAnsi="Times New Roman" w:cs="Times New Roman"/>
          <w:sz w:val="24"/>
          <w:szCs w:val="24"/>
        </w:rPr>
        <w:t xml:space="preserve"> υπερασβεστιαιμία,</w:t>
      </w:r>
      <w:r w:rsidR="002B2959">
        <w:rPr>
          <w:rFonts w:ascii="Times New Roman" w:hAnsi="Times New Roman" w:cs="Times New Roman"/>
          <w:sz w:val="24"/>
          <w:szCs w:val="24"/>
        </w:rPr>
        <w:t xml:space="preserve"> η</w:t>
      </w:r>
      <w:r w:rsidR="002B2959" w:rsidRPr="002B2959">
        <w:rPr>
          <w:rFonts w:ascii="Times New Roman" w:hAnsi="Times New Roman" w:cs="Times New Roman"/>
          <w:sz w:val="24"/>
          <w:szCs w:val="24"/>
        </w:rPr>
        <w:t xml:space="preserve"> νεφρική ανεπάρκεια και </w:t>
      </w:r>
      <w:r w:rsidR="002B2959">
        <w:rPr>
          <w:rFonts w:ascii="Times New Roman" w:hAnsi="Times New Roman" w:cs="Times New Roman"/>
          <w:sz w:val="24"/>
          <w:szCs w:val="24"/>
        </w:rPr>
        <w:t xml:space="preserve">η </w:t>
      </w:r>
      <w:r w:rsidR="002B2959" w:rsidRPr="002B2959">
        <w:rPr>
          <w:rFonts w:ascii="Times New Roman" w:hAnsi="Times New Roman" w:cs="Times New Roman"/>
          <w:sz w:val="24"/>
          <w:szCs w:val="24"/>
        </w:rPr>
        <w:t>επιρρέπεια σε λοιμώξεις.</w:t>
      </w:r>
      <w:r w:rsidR="002B2959">
        <w:rPr>
          <w:rFonts w:ascii="Times New Roman" w:hAnsi="Times New Roman" w:cs="Times New Roman"/>
          <w:sz w:val="24"/>
          <w:szCs w:val="24"/>
        </w:rPr>
        <w:t xml:space="preserve"> </w:t>
      </w:r>
      <w:r w:rsidR="002B2959" w:rsidRPr="002B2959">
        <w:rPr>
          <w:rFonts w:ascii="Times New Roman" w:hAnsi="Times New Roman" w:cs="Times New Roman"/>
          <w:sz w:val="24"/>
          <w:szCs w:val="24"/>
        </w:rPr>
        <w:t>Οι οστεολυτικές βλάβες και η υπερασβεστιαιμία οφείλονται στην αλληλεπίδραση των κλωνικών πλασματοκυττάρων με τα κύ</w:t>
      </w:r>
      <w:r w:rsidR="002B2959">
        <w:rPr>
          <w:rFonts w:ascii="Times New Roman" w:hAnsi="Times New Roman" w:cs="Times New Roman"/>
          <w:sz w:val="24"/>
          <w:szCs w:val="24"/>
        </w:rPr>
        <w:t>τταρα του οστικού μεταβολισμού,</w:t>
      </w:r>
      <w:r w:rsidR="002B2959">
        <w:rPr>
          <w:rFonts w:ascii="Times New Roman" w:hAnsi="Times New Roman" w:cs="Times New Roman"/>
          <w:sz w:val="24"/>
          <w:szCs w:val="24"/>
          <w:vertAlign w:val="superscript"/>
        </w:rPr>
        <w:t>3,4</w:t>
      </w:r>
      <w:r w:rsidR="002B2959" w:rsidRPr="002B2959">
        <w:rPr>
          <w:rFonts w:ascii="Times New Roman" w:hAnsi="Times New Roman" w:cs="Times New Roman"/>
          <w:sz w:val="24"/>
          <w:szCs w:val="24"/>
        </w:rPr>
        <w:t xml:space="preserve"> </w:t>
      </w:r>
      <w:r w:rsidR="002B2959">
        <w:rPr>
          <w:rFonts w:ascii="Times New Roman" w:hAnsi="Times New Roman" w:cs="Times New Roman"/>
          <w:sz w:val="24"/>
          <w:szCs w:val="24"/>
        </w:rPr>
        <w:t xml:space="preserve">ενώ η νεφρική ανεπάρκεια </w:t>
      </w:r>
      <w:r w:rsidR="002B2959" w:rsidRPr="002B2959">
        <w:rPr>
          <w:rFonts w:ascii="Times New Roman" w:hAnsi="Times New Roman" w:cs="Times New Roman"/>
          <w:sz w:val="24"/>
          <w:szCs w:val="24"/>
        </w:rPr>
        <w:t>στην απόφραξη των νεφρικών σω</w:t>
      </w:r>
      <w:r w:rsidR="002B2959">
        <w:rPr>
          <w:rFonts w:ascii="Times New Roman" w:hAnsi="Times New Roman" w:cs="Times New Roman"/>
          <w:sz w:val="24"/>
          <w:szCs w:val="24"/>
        </w:rPr>
        <w:t>ληναρίων λόγω των αυξημένων επιπέδων της παραπρωτεΐνης.</w:t>
      </w:r>
      <w:r w:rsidR="002B2959">
        <w:rPr>
          <w:rFonts w:ascii="Times New Roman" w:hAnsi="Times New Roman" w:cs="Times New Roman"/>
          <w:sz w:val="24"/>
          <w:szCs w:val="24"/>
          <w:vertAlign w:val="superscript"/>
        </w:rPr>
        <w:t>5</w:t>
      </w:r>
      <w:r w:rsidR="002B2959">
        <w:rPr>
          <w:rFonts w:ascii="Times New Roman" w:hAnsi="Times New Roman" w:cs="Times New Roman"/>
          <w:sz w:val="24"/>
          <w:szCs w:val="24"/>
        </w:rPr>
        <w:t xml:space="preserve"> Ακόμα</w:t>
      </w:r>
      <w:r w:rsidR="002B2959" w:rsidRPr="002B2959">
        <w:rPr>
          <w:rFonts w:ascii="Times New Roman" w:hAnsi="Times New Roman" w:cs="Times New Roman"/>
          <w:sz w:val="24"/>
          <w:szCs w:val="24"/>
        </w:rPr>
        <w:t xml:space="preserve">, η παραγωγή </w:t>
      </w:r>
      <w:r w:rsidR="002B2959">
        <w:rPr>
          <w:rFonts w:ascii="Times New Roman" w:hAnsi="Times New Roman" w:cs="Times New Roman"/>
          <w:sz w:val="24"/>
          <w:szCs w:val="24"/>
        </w:rPr>
        <w:t xml:space="preserve">της </w:t>
      </w:r>
      <w:r w:rsidR="002B2959" w:rsidRPr="002B2959">
        <w:rPr>
          <w:rFonts w:ascii="Times New Roman" w:hAnsi="Times New Roman" w:cs="Times New Roman"/>
          <w:sz w:val="24"/>
          <w:szCs w:val="24"/>
        </w:rPr>
        <w:t>παραπρωτεΐνης εμποδίζει το σχηματισμό φυσιολογικών αντισωμάτων, καθιστώντας τον ασθενή επιρρεπή σε λοιμώξεις.</w:t>
      </w:r>
      <w:r w:rsidR="004C4A97" w:rsidRPr="004C4A97">
        <w:t xml:space="preserve"> </w:t>
      </w:r>
    </w:p>
    <w:p w:rsidR="00EA1012" w:rsidRPr="001C3891" w:rsidRDefault="004C4A97" w:rsidP="00EA1012">
      <w:pPr>
        <w:spacing w:after="0" w:line="360" w:lineRule="auto"/>
        <w:ind w:firstLine="426"/>
        <w:jc w:val="both"/>
        <w:rPr>
          <w:rFonts w:ascii="Times New Roman" w:hAnsi="Times New Roman" w:cs="Times New Roman"/>
          <w:sz w:val="24"/>
          <w:szCs w:val="24"/>
        </w:rPr>
      </w:pPr>
      <w:r w:rsidRPr="004C4A97">
        <w:rPr>
          <w:rFonts w:ascii="Times New Roman" w:hAnsi="Times New Roman" w:cs="Times New Roman"/>
          <w:sz w:val="24"/>
          <w:szCs w:val="24"/>
        </w:rPr>
        <w:t>Η αιτιολογία του ΠΜ παραμένει μέχρι σήμερα άγνωστη. Η νόσος εμφανίζεται κυρίως σε ενήλικες άνδρες ηλικίας μεγαλύτερης των 40 ετών και οι επιδημιολογικές μελέτες αναφέρουν περίπου 20.000 νεοδιαγνωσθέντα περιστατικά στην Ευρώπη και 400 νέα περιστατικά στην Ελλάδα σε ετήσια βάση.</w:t>
      </w:r>
      <w:r>
        <w:rPr>
          <w:rFonts w:ascii="Times New Roman" w:hAnsi="Times New Roman" w:cs="Times New Roman"/>
          <w:sz w:val="24"/>
          <w:szCs w:val="24"/>
          <w:vertAlign w:val="superscript"/>
        </w:rPr>
        <w:t>6</w:t>
      </w:r>
      <w:r w:rsidRPr="004C4A97">
        <w:rPr>
          <w:rFonts w:ascii="Times New Roman" w:hAnsi="Times New Roman" w:cs="Times New Roman"/>
          <w:sz w:val="24"/>
          <w:szCs w:val="24"/>
        </w:rPr>
        <w:t xml:space="preserve"> </w:t>
      </w:r>
      <w:r>
        <w:rPr>
          <w:rFonts w:ascii="Times New Roman" w:hAnsi="Times New Roman" w:cs="Times New Roman"/>
          <w:sz w:val="24"/>
          <w:szCs w:val="24"/>
        </w:rPr>
        <w:t>Οι αριθμοί αυτοί υποδηλώνουν αύξηση της συχνότητας εμφάνισης της νόσου τα τελευταία χρόνια αλλά ο</w:t>
      </w:r>
      <w:r w:rsidR="00BE0B5E" w:rsidRPr="00BE0B5E">
        <w:rPr>
          <w:rFonts w:ascii="Times New Roman" w:hAnsi="Times New Roman" w:cs="Times New Roman"/>
          <w:sz w:val="24"/>
          <w:szCs w:val="24"/>
        </w:rPr>
        <w:t xml:space="preserve">ι σύγχρονες θεραπευτικές εξελίξεις με τα νέα θεραπευτικά σχήματα που περιλαμβάνουν αναστολείς του πρωτεασώματος (Proteasome Inhibitors – PIs), ανοσοτροποποιητές (Immunomodulatory drugs – IMiDs) ή μονοκλωνικά αντισώματα έχουν αυξήσει σημαντικά τα ποσοστά επίτευξης πλήρους ύφεσης και έχουν επιφέρει σημαντική βελτίωση στο </w:t>
      </w:r>
      <w:r>
        <w:rPr>
          <w:rFonts w:ascii="Times New Roman" w:hAnsi="Times New Roman" w:cs="Times New Roman"/>
          <w:sz w:val="24"/>
          <w:szCs w:val="24"/>
        </w:rPr>
        <w:t>κλινικό αποτέλεσμα των ασθενών.</w:t>
      </w:r>
      <w:r w:rsidRPr="004C4A97">
        <w:rPr>
          <w:rFonts w:ascii="Times New Roman" w:hAnsi="Times New Roman" w:cs="Times New Roman"/>
          <w:sz w:val="24"/>
          <w:szCs w:val="24"/>
          <w:vertAlign w:val="superscript"/>
        </w:rPr>
        <w:t>7-14</w:t>
      </w:r>
      <w:r w:rsidR="00BE0B5E" w:rsidRPr="00BE0B5E">
        <w:rPr>
          <w:rFonts w:ascii="Times New Roman" w:hAnsi="Times New Roman" w:cs="Times New Roman"/>
          <w:sz w:val="24"/>
          <w:szCs w:val="24"/>
        </w:rPr>
        <w:t xml:space="preserve"> Ωστόσο, το ΠΜ παραμένει μία ανίατη νόσος, όπου ακόμα και οι ασθενείς σε πλήρη ύφεση, σταδιακά υποτροπιάζουν.</w:t>
      </w:r>
      <w:r w:rsidR="00762774" w:rsidRPr="00762774">
        <w:rPr>
          <w:rFonts w:ascii="Times New Roman" w:hAnsi="Times New Roman" w:cs="Times New Roman"/>
          <w:sz w:val="24"/>
          <w:szCs w:val="24"/>
          <w:vertAlign w:val="superscript"/>
        </w:rPr>
        <w:t>15-17</w:t>
      </w:r>
      <w:r w:rsidR="00BE0B5E" w:rsidRPr="00BE0B5E">
        <w:rPr>
          <w:rFonts w:ascii="Times New Roman" w:hAnsi="Times New Roman" w:cs="Times New Roman"/>
          <w:sz w:val="24"/>
          <w:szCs w:val="24"/>
        </w:rPr>
        <w:t xml:space="preserve"> </w:t>
      </w:r>
    </w:p>
    <w:p w:rsidR="00E05E66" w:rsidRPr="001C3891" w:rsidRDefault="00BE0B5E" w:rsidP="00E05E66">
      <w:pPr>
        <w:spacing w:after="0" w:line="360" w:lineRule="auto"/>
        <w:ind w:firstLine="426"/>
        <w:jc w:val="both"/>
      </w:pPr>
      <w:r w:rsidRPr="00BE0B5E">
        <w:rPr>
          <w:rFonts w:ascii="Times New Roman" w:hAnsi="Times New Roman" w:cs="Times New Roman"/>
          <w:sz w:val="24"/>
          <w:szCs w:val="24"/>
        </w:rPr>
        <w:t>Σε αυτό το πλαίσιο, η χρησιμοποίηση βιοδεικτών που θα πληροφορούν τον κλινικό γιατρό για την πρόοδο της νόσου και τελικά για την επερχόμενη υποτροπή (παρά την επίτευξη  πλήρους ύφεσης) είναι καθοριστικής σημασίας στην καθημερινή κλινική πράξη</w:t>
      </w:r>
      <w:r w:rsidR="00EA1012" w:rsidRPr="00EA1012">
        <w:rPr>
          <w:rFonts w:ascii="Times New Roman" w:hAnsi="Times New Roman" w:cs="Times New Roman"/>
          <w:sz w:val="24"/>
          <w:szCs w:val="24"/>
        </w:rPr>
        <w:t xml:space="preserve">, </w:t>
      </w:r>
      <w:r w:rsidR="00EA1012">
        <w:rPr>
          <w:rFonts w:ascii="Times New Roman" w:hAnsi="Times New Roman" w:cs="Times New Roman"/>
          <w:sz w:val="24"/>
          <w:szCs w:val="24"/>
        </w:rPr>
        <w:t xml:space="preserve">καθότι αυτές </w:t>
      </w:r>
      <w:r w:rsidR="00EA1012" w:rsidRPr="00173578">
        <w:rPr>
          <w:rFonts w:ascii="Times New Roman" w:hAnsi="Times New Roman" w:cs="Times New Roman"/>
          <w:b/>
          <w:sz w:val="24"/>
          <w:szCs w:val="24"/>
        </w:rPr>
        <w:t>μπορούν να καθορίσουν την εντατικοποίηση της παρακολούθησης των ασθενών ή να αλλάξουν/τροποποιήσουν το είδος του θεραπευτικού σχήματος που θα ακολουθήσει ο ασθενής</w:t>
      </w:r>
      <w:r w:rsidRPr="00173578">
        <w:rPr>
          <w:rFonts w:ascii="Times New Roman" w:hAnsi="Times New Roman" w:cs="Times New Roman"/>
          <w:b/>
          <w:sz w:val="24"/>
          <w:szCs w:val="24"/>
        </w:rPr>
        <w:t>.</w:t>
      </w:r>
      <w:r w:rsidR="00EA1012">
        <w:rPr>
          <w:rFonts w:ascii="Times New Roman" w:hAnsi="Times New Roman" w:cs="Times New Roman"/>
          <w:sz w:val="24"/>
          <w:szCs w:val="24"/>
        </w:rPr>
        <w:t xml:space="preserve"> </w:t>
      </w:r>
      <w:r w:rsidR="00EA1012" w:rsidRPr="00EA1012">
        <w:rPr>
          <w:rFonts w:ascii="Times New Roman" w:hAnsi="Times New Roman" w:cs="Times New Roman"/>
          <w:sz w:val="24"/>
          <w:szCs w:val="24"/>
        </w:rPr>
        <w:t>Μία τέτοια παράμετρος, σχετικά πρόσφατα αναφερθείσα στη βιβλιογραφία, αλλά με πολύ ισχυρέ</w:t>
      </w:r>
      <w:r w:rsidR="00EA1012">
        <w:rPr>
          <w:rFonts w:ascii="Times New Roman" w:hAnsi="Times New Roman" w:cs="Times New Roman"/>
          <w:sz w:val="24"/>
          <w:szCs w:val="24"/>
        </w:rPr>
        <w:t>ς ενδείξεις ως προς την προγνωστική της ισχύ</w:t>
      </w:r>
      <w:r w:rsidR="00EA1012" w:rsidRPr="00EA1012">
        <w:rPr>
          <w:rFonts w:ascii="Times New Roman" w:hAnsi="Times New Roman" w:cs="Times New Roman"/>
          <w:sz w:val="24"/>
          <w:szCs w:val="24"/>
        </w:rPr>
        <w:t xml:space="preserve">, αποτελεί η ανίχνευση ελάχιστης υπολειπόμενης νόσου (Minimal Residual Disease, MRD), δηλαδή η ανίχνευση των κλωνικών </w:t>
      </w:r>
      <w:r w:rsidR="00EA1012" w:rsidRPr="00EA1012">
        <w:rPr>
          <w:rFonts w:ascii="Times New Roman" w:hAnsi="Times New Roman" w:cs="Times New Roman"/>
          <w:sz w:val="24"/>
          <w:szCs w:val="24"/>
        </w:rPr>
        <w:lastRenderedPageBreak/>
        <w:t>πλασματοκυττάρων που παραμένουν στο μυελό των οστών του ασθενούς, με</w:t>
      </w:r>
      <w:r w:rsidR="00EA1012">
        <w:rPr>
          <w:rFonts w:ascii="Times New Roman" w:hAnsi="Times New Roman" w:cs="Times New Roman"/>
          <w:sz w:val="24"/>
          <w:szCs w:val="24"/>
        </w:rPr>
        <w:t xml:space="preserve">τά τη χορήγηση χημειοθεραπείας. Η κλινική της αξία έγκειται στο γεγονός ότι οι ασθενείς που βρίσκονται θετικοί στην </w:t>
      </w:r>
      <w:r w:rsidR="00EA1012">
        <w:rPr>
          <w:rFonts w:ascii="Times New Roman" w:hAnsi="Times New Roman" w:cs="Times New Roman"/>
          <w:sz w:val="24"/>
          <w:szCs w:val="24"/>
          <w:lang w:val="en-US"/>
        </w:rPr>
        <w:t>MRD</w:t>
      </w:r>
      <w:r w:rsidR="00EA1012" w:rsidRPr="00EA1012">
        <w:rPr>
          <w:rFonts w:ascii="Times New Roman" w:hAnsi="Times New Roman" w:cs="Times New Roman"/>
          <w:sz w:val="24"/>
          <w:szCs w:val="24"/>
        </w:rPr>
        <w:t xml:space="preserve"> (</w:t>
      </w:r>
      <w:r w:rsidR="00EA1012">
        <w:rPr>
          <w:rFonts w:ascii="Times New Roman" w:hAnsi="Times New Roman" w:cs="Times New Roman"/>
          <w:sz w:val="24"/>
          <w:szCs w:val="24"/>
          <w:lang w:val="en-US"/>
        </w:rPr>
        <w:t>MRD</w:t>
      </w:r>
      <w:r w:rsidR="00EA1012" w:rsidRPr="00EA1012">
        <w:rPr>
          <w:rFonts w:ascii="Times New Roman" w:hAnsi="Times New Roman" w:cs="Times New Roman"/>
          <w:sz w:val="24"/>
          <w:szCs w:val="24"/>
        </w:rPr>
        <w:t xml:space="preserve">+) </w:t>
      </w:r>
      <w:r w:rsidR="00EA1012" w:rsidRPr="00BE0B5E">
        <w:rPr>
          <w:rFonts w:ascii="Times New Roman" w:hAnsi="Times New Roman" w:cs="Times New Roman"/>
          <w:sz w:val="24"/>
          <w:szCs w:val="24"/>
        </w:rPr>
        <w:t xml:space="preserve">έχουν σημαντικά μικρότερο διάστημα ελεύθερο νόσου (Progression Free Survival-PFS) και σημαντικά μικρότερη ολική επιβίωση (Overall Survival-OS) σε </w:t>
      </w:r>
      <w:r w:rsidR="00EA1012">
        <w:rPr>
          <w:rFonts w:ascii="Times New Roman" w:hAnsi="Times New Roman" w:cs="Times New Roman"/>
          <w:sz w:val="24"/>
          <w:szCs w:val="24"/>
        </w:rPr>
        <w:t xml:space="preserve">σχέση με τους αρνητικούς για </w:t>
      </w:r>
      <w:r w:rsidR="00EA1012">
        <w:rPr>
          <w:rFonts w:ascii="Times New Roman" w:hAnsi="Times New Roman" w:cs="Times New Roman"/>
          <w:sz w:val="24"/>
          <w:szCs w:val="24"/>
          <w:lang w:val="en-US"/>
        </w:rPr>
        <w:t>MRD</w:t>
      </w:r>
      <w:r w:rsidR="00EA1012">
        <w:rPr>
          <w:rFonts w:ascii="Times New Roman" w:hAnsi="Times New Roman" w:cs="Times New Roman"/>
          <w:sz w:val="24"/>
          <w:szCs w:val="24"/>
        </w:rPr>
        <w:t xml:space="preserve"> ασθενείς (</w:t>
      </w:r>
      <w:r w:rsidR="00EA1012">
        <w:rPr>
          <w:rFonts w:ascii="Times New Roman" w:hAnsi="Times New Roman" w:cs="Times New Roman"/>
          <w:sz w:val="24"/>
          <w:szCs w:val="24"/>
          <w:lang w:val="en-US"/>
        </w:rPr>
        <w:t>MRD</w:t>
      </w:r>
      <w:r w:rsidR="00EA1012" w:rsidRPr="00BE0B5E">
        <w:rPr>
          <w:rFonts w:ascii="Times New Roman" w:hAnsi="Times New Roman" w:cs="Times New Roman"/>
          <w:sz w:val="24"/>
          <w:szCs w:val="24"/>
        </w:rPr>
        <w:t>-).</w:t>
      </w:r>
      <w:r w:rsidR="00EA1012" w:rsidRPr="00EA1012">
        <w:rPr>
          <w:rFonts w:ascii="Times New Roman" w:hAnsi="Times New Roman" w:cs="Times New Roman"/>
          <w:sz w:val="24"/>
          <w:szCs w:val="24"/>
          <w:vertAlign w:val="superscript"/>
        </w:rPr>
        <w:t xml:space="preserve">18-28 </w:t>
      </w:r>
      <w:r w:rsidR="00E05E66" w:rsidRPr="00E05E66">
        <w:rPr>
          <w:rFonts w:ascii="Times New Roman" w:hAnsi="Times New Roman" w:cs="Times New Roman"/>
          <w:sz w:val="24"/>
          <w:szCs w:val="24"/>
        </w:rPr>
        <w:t>Επιπρόσθετα, ο</w:t>
      </w:r>
      <w:r w:rsidR="00173578">
        <w:rPr>
          <w:rFonts w:ascii="Times New Roman" w:hAnsi="Times New Roman" w:cs="Times New Roman"/>
          <w:sz w:val="24"/>
          <w:szCs w:val="24"/>
        </w:rPr>
        <w:t xml:space="preserve"> ποσοτικός προσδιορισμός της </w:t>
      </w:r>
      <w:r w:rsidR="00173578">
        <w:rPr>
          <w:rFonts w:ascii="Times New Roman" w:hAnsi="Times New Roman" w:cs="Times New Roman"/>
          <w:sz w:val="24"/>
          <w:szCs w:val="24"/>
          <w:lang w:val="en-US"/>
        </w:rPr>
        <w:t>MRD</w:t>
      </w:r>
      <w:r w:rsidR="00E05E66" w:rsidRPr="00E05E66">
        <w:rPr>
          <w:rFonts w:ascii="Times New Roman" w:hAnsi="Times New Roman" w:cs="Times New Roman"/>
          <w:sz w:val="24"/>
          <w:szCs w:val="24"/>
        </w:rPr>
        <w:t xml:space="preserve"> φαίνεται πως έχει σημαντική αξία, καθώς έχουν δημοσιευθεί μελέτες που δείχνουν ότι η αύξηση του κλωνικού φορτίου σε δεκαδική λογαριθμική κλίμακα, επιφέρει, ανεξάρτητα από τις άλλες κλινικές παραμέτρους, ένα μεγαλύτερο κίνδυνο για εξέλιξη της νόσου, συντελώντας με αυτόν τον τρόπο στην κατηγοριοποίηση των ασθενών σε διακριτές ομάδες κινδύνου.</w:t>
      </w:r>
      <w:r w:rsidR="00E05E66" w:rsidRPr="00E05E66">
        <w:rPr>
          <w:rFonts w:ascii="Times New Roman" w:hAnsi="Times New Roman" w:cs="Times New Roman"/>
          <w:sz w:val="24"/>
          <w:szCs w:val="24"/>
          <w:vertAlign w:val="superscript"/>
        </w:rPr>
        <w:t>22,23</w:t>
      </w:r>
      <w:r w:rsidR="00E05E66" w:rsidRPr="00E05E66">
        <w:rPr>
          <w:rFonts w:ascii="Times New Roman" w:hAnsi="Times New Roman" w:cs="Times New Roman"/>
          <w:sz w:val="24"/>
          <w:szCs w:val="24"/>
        </w:rPr>
        <w:t xml:space="preserve"> Οι παρατηρήσεις αυτές καθιστούν αναγκαία την εφαρμογή πολύ ευαίσθητων και αξιόπιστων ποσοτικών τεχνικών με δυνατότητα ανίχνευσης των εξαιρετικά μικρών υπολειμματικών κλωνικών κυττάρων.</w:t>
      </w:r>
      <w:r w:rsidR="00E05E66" w:rsidRPr="00E05E66">
        <w:t xml:space="preserve"> </w:t>
      </w:r>
    </w:p>
    <w:p w:rsidR="00E05E66" w:rsidRPr="00E05E66" w:rsidRDefault="00E05E66" w:rsidP="00E05E66">
      <w:pPr>
        <w:spacing w:after="0" w:line="360" w:lineRule="auto"/>
        <w:ind w:firstLine="426"/>
        <w:jc w:val="both"/>
        <w:rPr>
          <w:rFonts w:ascii="Times New Roman" w:hAnsi="Times New Roman" w:cs="Times New Roman"/>
          <w:sz w:val="24"/>
          <w:szCs w:val="24"/>
        </w:rPr>
      </w:pPr>
      <w:r w:rsidRPr="00E05E66">
        <w:rPr>
          <w:rFonts w:ascii="Times New Roman" w:hAnsi="Times New Roman" w:cs="Times New Roman"/>
          <w:sz w:val="24"/>
          <w:szCs w:val="24"/>
        </w:rPr>
        <w:t xml:space="preserve">Οι προτεινόμενες τεχνικές ανίχνευσης της MRD στο ΠΜ περιλαμβάνουν τεχνικές PCR υψηλής ευαισθησίας (allele-specific PCR, ASO PCR), αλληλούχιση νέας γενιάς (Next-Generation Sequencing, NGS) ή πολυχρωματική/πολυπαραμετρική κυτταρομετρία ροής, δηλαδή κυτταρομετρία ροής 8 χρωμάτων για την ταυτόχρονη μελέτη πολλών αντιγονικών επιτόπων που </w:t>
      </w:r>
      <w:r>
        <w:rPr>
          <w:rFonts w:ascii="Times New Roman" w:hAnsi="Times New Roman" w:cs="Times New Roman"/>
          <w:sz w:val="24"/>
          <w:szCs w:val="24"/>
        </w:rPr>
        <w:t>να μπορούν να διακρίνουν τον</w:t>
      </w:r>
      <w:r w:rsidRPr="00E05E66">
        <w:rPr>
          <w:rFonts w:ascii="Times New Roman" w:hAnsi="Times New Roman" w:cs="Times New Roman"/>
          <w:sz w:val="24"/>
          <w:szCs w:val="24"/>
        </w:rPr>
        <w:t xml:space="preserve"> παθολογικό πλασματοκ</w:t>
      </w:r>
      <w:r>
        <w:rPr>
          <w:rFonts w:ascii="Times New Roman" w:hAnsi="Times New Roman" w:cs="Times New Roman"/>
          <w:sz w:val="24"/>
          <w:szCs w:val="24"/>
        </w:rPr>
        <w:t>υτταρικό κλώνο. Από</w:t>
      </w:r>
      <w:r w:rsidRPr="00E05E66">
        <w:rPr>
          <w:rFonts w:ascii="Times New Roman" w:hAnsi="Times New Roman" w:cs="Times New Roman"/>
          <w:sz w:val="24"/>
          <w:szCs w:val="24"/>
        </w:rPr>
        <w:t xml:space="preserve"> αυτές</w:t>
      </w:r>
      <w:r w:rsidR="00CD5A49">
        <w:rPr>
          <w:rFonts w:ascii="Times New Roman" w:hAnsi="Times New Roman" w:cs="Times New Roman"/>
          <w:sz w:val="24"/>
          <w:szCs w:val="24"/>
        </w:rPr>
        <w:t xml:space="preserve">, μεγαλύτερης </w:t>
      </w:r>
      <w:r w:rsidRPr="00E05E66">
        <w:rPr>
          <w:rFonts w:ascii="Times New Roman" w:hAnsi="Times New Roman" w:cs="Times New Roman"/>
          <w:sz w:val="24"/>
          <w:szCs w:val="24"/>
        </w:rPr>
        <w:t>ευαισθησία</w:t>
      </w:r>
      <w:r w:rsidR="00CD5A49">
        <w:rPr>
          <w:rFonts w:ascii="Times New Roman" w:hAnsi="Times New Roman" w:cs="Times New Roman"/>
          <w:sz w:val="24"/>
          <w:szCs w:val="24"/>
        </w:rPr>
        <w:t>ς είναι</w:t>
      </w:r>
      <w:r w:rsidRPr="00E05E66">
        <w:rPr>
          <w:rFonts w:ascii="Times New Roman" w:hAnsi="Times New Roman" w:cs="Times New Roman"/>
          <w:sz w:val="24"/>
          <w:szCs w:val="24"/>
        </w:rPr>
        <w:t xml:space="preserve"> η ΝGS, αλλά η πολυπαραμετρική κυτταρομετρία ροής πλεονεκτεί στο γεγονός ότι είναι πολύ χαμηλότερου κόστους, λιγότερο χρονοβόρα (2 ώρες έναντι 7 ημερών της NGS), μπορεί να εφαρμοστεί σε όλους τους ασθενείς</w:t>
      </w:r>
      <w:r w:rsidR="00CD5A49" w:rsidRPr="00CD5A49">
        <w:rPr>
          <w:rFonts w:ascii="Times New Roman" w:hAnsi="Times New Roman" w:cs="Times New Roman"/>
          <w:sz w:val="24"/>
          <w:szCs w:val="24"/>
        </w:rPr>
        <w:t xml:space="preserve"> </w:t>
      </w:r>
      <w:r w:rsidR="00CD5A49">
        <w:rPr>
          <w:rFonts w:ascii="Times New Roman" w:hAnsi="Times New Roman" w:cs="Times New Roman"/>
          <w:sz w:val="24"/>
          <w:szCs w:val="24"/>
        </w:rPr>
        <w:t xml:space="preserve">με </w:t>
      </w:r>
      <w:r w:rsidR="00CD5A49" w:rsidRPr="00E05E66">
        <w:rPr>
          <w:rFonts w:ascii="Times New Roman" w:hAnsi="Times New Roman" w:cs="Times New Roman"/>
          <w:sz w:val="24"/>
          <w:szCs w:val="24"/>
        </w:rPr>
        <w:t>το ίδιο προτυποποιημένο πρωτόκολλο</w:t>
      </w:r>
      <w:r w:rsidRPr="00E05E66">
        <w:rPr>
          <w:rFonts w:ascii="Times New Roman" w:hAnsi="Times New Roman" w:cs="Times New Roman"/>
          <w:sz w:val="24"/>
          <w:szCs w:val="24"/>
        </w:rPr>
        <w:t>, και κυρίως</w:t>
      </w:r>
      <w:r w:rsidR="00CD5A49">
        <w:rPr>
          <w:rFonts w:ascii="Times New Roman" w:hAnsi="Times New Roman" w:cs="Times New Roman"/>
          <w:sz w:val="24"/>
          <w:szCs w:val="24"/>
        </w:rPr>
        <w:t>,</w:t>
      </w:r>
      <w:r w:rsidRPr="00E05E66">
        <w:rPr>
          <w:rFonts w:ascii="Times New Roman" w:hAnsi="Times New Roman" w:cs="Times New Roman"/>
          <w:sz w:val="24"/>
          <w:szCs w:val="24"/>
        </w:rPr>
        <w:t xml:space="preserve"> στο ότι δεν είναι απαραίτητη η πρότερη ανάλυση του δείγματος πριν τη θεραπεία</w:t>
      </w:r>
      <w:r w:rsidR="00A201A7">
        <w:rPr>
          <w:rFonts w:ascii="Times New Roman" w:hAnsi="Times New Roman" w:cs="Times New Roman"/>
          <w:sz w:val="24"/>
          <w:szCs w:val="24"/>
        </w:rPr>
        <w:t>.</w:t>
      </w:r>
      <w:r w:rsidR="00A201A7" w:rsidRPr="00A201A7">
        <w:rPr>
          <w:rFonts w:ascii="Times New Roman" w:hAnsi="Times New Roman" w:cs="Times New Roman"/>
          <w:sz w:val="24"/>
          <w:szCs w:val="24"/>
          <w:vertAlign w:val="superscript"/>
        </w:rPr>
        <w:t>25,29-31</w:t>
      </w:r>
      <w:r w:rsidRPr="00E05E66">
        <w:rPr>
          <w:rFonts w:ascii="Times New Roman" w:hAnsi="Times New Roman" w:cs="Times New Roman"/>
          <w:sz w:val="24"/>
          <w:szCs w:val="24"/>
        </w:rPr>
        <w:t xml:space="preserve">  </w:t>
      </w: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Default="005B41C1" w:rsidP="00A201A7">
      <w:pPr>
        <w:spacing w:after="0" w:line="360" w:lineRule="auto"/>
        <w:ind w:firstLine="426"/>
        <w:jc w:val="both"/>
        <w:rPr>
          <w:rFonts w:ascii="Times New Roman" w:hAnsi="Times New Roman" w:cs="Times New Roman"/>
          <w:sz w:val="24"/>
          <w:szCs w:val="24"/>
        </w:rPr>
      </w:pPr>
    </w:p>
    <w:p w:rsidR="005B41C1" w:rsidRPr="005B41C1" w:rsidRDefault="005B41C1" w:rsidP="005B41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Στόχοι Μεταδιδακτορικής Έρευνας</w:t>
      </w:r>
    </w:p>
    <w:p w:rsidR="005B41C1" w:rsidRPr="005B41C1" w:rsidRDefault="00E05E66" w:rsidP="00F53ABC">
      <w:pPr>
        <w:spacing w:after="0" w:line="360" w:lineRule="auto"/>
        <w:jc w:val="both"/>
        <w:rPr>
          <w:rFonts w:ascii="Times New Roman" w:hAnsi="Times New Roman" w:cs="Times New Roman"/>
          <w:sz w:val="24"/>
          <w:szCs w:val="24"/>
        </w:rPr>
      </w:pPr>
      <w:r w:rsidRPr="00E05E66">
        <w:rPr>
          <w:rFonts w:ascii="Times New Roman" w:hAnsi="Times New Roman" w:cs="Times New Roman"/>
          <w:sz w:val="24"/>
          <w:szCs w:val="24"/>
        </w:rPr>
        <w:lastRenderedPageBreak/>
        <w:t xml:space="preserve">Ο βασικός στόχος της παρούσας </w:t>
      </w:r>
      <w:r w:rsidR="005B41C1">
        <w:rPr>
          <w:rFonts w:ascii="Times New Roman" w:hAnsi="Times New Roman" w:cs="Times New Roman"/>
          <w:sz w:val="24"/>
          <w:szCs w:val="24"/>
        </w:rPr>
        <w:t xml:space="preserve">μεταδιδακτορικής έρευνας ήταν </w:t>
      </w:r>
      <w:r w:rsidRPr="00E05E66">
        <w:rPr>
          <w:rFonts w:ascii="Times New Roman" w:hAnsi="Times New Roman" w:cs="Times New Roman"/>
          <w:sz w:val="24"/>
          <w:szCs w:val="24"/>
        </w:rPr>
        <w:t>η ανάπτυξη</w:t>
      </w:r>
      <w:r w:rsidR="005B41C1">
        <w:rPr>
          <w:rFonts w:ascii="Times New Roman" w:hAnsi="Times New Roman" w:cs="Times New Roman"/>
          <w:sz w:val="24"/>
          <w:szCs w:val="24"/>
        </w:rPr>
        <w:t xml:space="preserve"> μίας πολύ ευαίσθητης τεχνικής κυτταρομετρίας ροής για την ανίχνευση και την κλινική αξιολόγηση της </w:t>
      </w:r>
      <w:r w:rsidR="005B41C1">
        <w:rPr>
          <w:rFonts w:ascii="Times New Roman" w:hAnsi="Times New Roman" w:cs="Times New Roman"/>
          <w:sz w:val="24"/>
          <w:szCs w:val="24"/>
          <w:lang w:val="en-US"/>
        </w:rPr>
        <w:t>MRD</w:t>
      </w:r>
      <w:r w:rsidR="005B41C1" w:rsidRPr="005B41C1">
        <w:rPr>
          <w:rFonts w:ascii="Times New Roman" w:hAnsi="Times New Roman" w:cs="Times New Roman"/>
          <w:sz w:val="24"/>
          <w:szCs w:val="24"/>
        </w:rPr>
        <w:t xml:space="preserve"> </w:t>
      </w:r>
      <w:r w:rsidR="005B41C1">
        <w:rPr>
          <w:rFonts w:ascii="Times New Roman" w:hAnsi="Times New Roman" w:cs="Times New Roman"/>
          <w:sz w:val="24"/>
          <w:szCs w:val="24"/>
        </w:rPr>
        <w:t xml:space="preserve">σε ασθενείς με ΠΜ που κλινικά παρουσιάζουν πλήρη ύφεση. Δευτερεύοντες στόχοι της έρευνας μας υπήρξαν η αξιολόγηση της συσχέτισης της </w:t>
      </w:r>
      <w:r w:rsidR="005B41C1">
        <w:rPr>
          <w:rFonts w:ascii="Times New Roman" w:hAnsi="Times New Roman" w:cs="Times New Roman"/>
          <w:sz w:val="24"/>
          <w:szCs w:val="24"/>
          <w:lang w:val="en-US"/>
        </w:rPr>
        <w:t>MRD</w:t>
      </w:r>
      <w:r w:rsidR="005B41C1" w:rsidRPr="005B41C1">
        <w:rPr>
          <w:rFonts w:ascii="Times New Roman" w:hAnsi="Times New Roman" w:cs="Times New Roman"/>
          <w:sz w:val="24"/>
          <w:szCs w:val="24"/>
        </w:rPr>
        <w:t xml:space="preserve"> </w:t>
      </w:r>
      <w:r w:rsidR="005B41C1">
        <w:rPr>
          <w:rFonts w:ascii="Times New Roman" w:hAnsi="Times New Roman" w:cs="Times New Roman"/>
          <w:sz w:val="24"/>
          <w:szCs w:val="24"/>
        </w:rPr>
        <w:t xml:space="preserve">με άλλες καθιερωμένες προγνωστικές παραμέτρους στο ΠΜ ή με το είδος της χορηγούμενης θεραπείας, και η διερεύνηση πιθανών φαινοτυπικών μεταβολών που υφίστανται τα κύτταρα του κλώνου λόγω της χορηγούμενης θεραπείας. </w:t>
      </w:r>
    </w:p>
    <w:p w:rsidR="009D270A" w:rsidRDefault="005B41C1" w:rsidP="00A201A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D270A">
        <w:rPr>
          <w:rFonts w:ascii="Times New Roman" w:hAnsi="Times New Roman" w:cs="Times New Roman"/>
          <w:sz w:val="24"/>
          <w:szCs w:val="24"/>
        </w:rPr>
        <w:t>Η ανάπτυξη της τεχνικής πραγματοποιήθηκε στη Μονάδα Κυτταρομετρίας Ροής του  Τομέα Φυσιολογίας Ζώων και Ανθρώπου του Τμήματος Βιολογίας του ΕΚΠΑ και καθ’όλη τη διάρκεια της έρευνας, το εργαστήριό μας βρισκόταν σε συνεχή συνεργασία με τη Θεραπευτική</w:t>
      </w:r>
      <w:r w:rsidR="00E05E66" w:rsidRPr="00E05E66">
        <w:rPr>
          <w:rFonts w:ascii="Times New Roman" w:hAnsi="Times New Roman" w:cs="Times New Roman"/>
          <w:sz w:val="24"/>
          <w:szCs w:val="24"/>
        </w:rPr>
        <w:t xml:space="preserve"> Κλινική της Ιατρικής Σχολής του ΕΚΠΑ </w:t>
      </w:r>
      <w:r w:rsidR="009D270A">
        <w:rPr>
          <w:rFonts w:ascii="Times New Roman" w:hAnsi="Times New Roman" w:cs="Times New Roman"/>
          <w:sz w:val="24"/>
          <w:szCs w:val="24"/>
        </w:rPr>
        <w:t>από όπου λαμβάνονταν δείγματα μυελού των οστών από ασθενείς με ΠΜ μετά από χορήγηση θεραπείας 1</w:t>
      </w:r>
      <w:r w:rsidR="009D270A" w:rsidRPr="009D270A">
        <w:rPr>
          <w:rFonts w:ascii="Times New Roman" w:hAnsi="Times New Roman" w:cs="Times New Roman"/>
          <w:sz w:val="24"/>
          <w:szCs w:val="24"/>
          <w:vertAlign w:val="superscript"/>
        </w:rPr>
        <w:t>ης</w:t>
      </w:r>
      <w:r w:rsidR="009D270A">
        <w:rPr>
          <w:rFonts w:ascii="Times New Roman" w:hAnsi="Times New Roman" w:cs="Times New Roman"/>
          <w:sz w:val="24"/>
          <w:szCs w:val="24"/>
        </w:rPr>
        <w:t xml:space="preserve"> γραμμής και όλες οι απαραίτητες συνοδευτικές κλινικές πληροφορίες για τις μετέπειτα αναλύσεις μας.</w:t>
      </w:r>
    </w:p>
    <w:p w:rsidR="00E05E66" w:rsidRPr="001C3891" w:rsidRDefault="00E05E66"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1C3891" w:rsidRDefault="00A06DAD" w:rsidP="00BE0B5E">
      <w:pPr>
        <w:spacing w:line="360" w:lineRule="auto"/>
        <w:jc w:val="both"/>
        <w:rPr>
          <w:rFonts w:ascii="Times New Roman" w:hAnsi="Times New Roman" w:cs="Times New Roman"/>
          <w:sz w:val="24"/>
          <w:szCs w:val="24"/>
        </w:rPr>
      </w:pPr>
    </w:p>
    <w:p w:rsidR="00A06DAD" w:rsidRPr="00A06DAD" w:rsidRDefault="00A06DAD" w:rsidP="00A06DAD">
      <w:pPr>
        <w:spacing w:line="360" w:lineRule="auto"/>
        <w:jc w:val="center"/>
        <w:rPr>
          <w:rFonts w:ascii="Times New Roman" w:hAnsi="Times New Roman" w:cs="Times New Roman"/>
          <w:b/>
          <w:sz w:val="28"/>
          <w:szCs w:val="28"/>
        </w:rPr>
      </w:pPr>
      <w:r w:rsidRPr="00A06DAD">
        <w:rPr>
          <w:rFonts w:ascii="Times New Roman" w:hAnsi="Times New Roman" w:cs="Times New Roman"/>
          <w:b/>
          <w:sz w:val="28"/>
          <w:szCs w:val="28"/>
        </w:rPr>
        <w:lastRenderedPageBreak/>
        <w:t>Παραδοτέα Μεταδιδακτορικής Έρευνας</w:t>
      </w:r>
    </w:p>
    <w:p w:rsidR="00A06DAD" w:rsidRPr="00A06DAD" w:rsidRDefault="00A06DAD" w:rsidP="00BE0B5E">
      <w:pPr>
        <w:spacing w:line="360" w:lineRule="auto"/>
        <w:jc w:val="both"/>
        <w:rPr>
          <w:rFonts w:ascii="Times New Roman" w:hAnsi="Times New Roman" w:cs="Times New Roman"/>
          <w:b/>
          <w:sz w:val="24"/>
          <w:szCs w:val="24"/>
        </w:rPr>
      </w:pPr>
      <w:r w:rsidRPr="00A06DAD">
        <w:rPr>
          <w:rFonts w:ascii="Times New Roman" w:hAnsi="Times New Roman" w:cs="Times New Roman"/>
          <w:b/>
          <w:sz w:val="24"/>
          <w:szCs w:val="24"/>
        </w:rPr>
        <w:t>Ανάπτυξη πρωτοκόλλου για την ανίχνευση της Μ</w:t>
      </w:r>
      <w:r w:rsidRPr="00A06DAD">
        <w:rPr>
          <w:rFonts w:ascii="Times New Roman" w:hAnsi="Times New Roman" w:cs="Times New Roman"/>
          <w:b/>
          <w:sz w:val="24"/>
          <w:szCs w:val="24"/>
          <w:lang w:val="en-US"/>
        </w:rPr>
        <w:t>RD</w:t>
      </w:r>
    </w:p>
    <w:p w:rsidR="00436F48" w:rsidRPr="00436F48" w:rsidRDefault="00A06DAD" w:rsidP="00A06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ανάπτυξη του πρωτοκόλλου Πολυχρωματικής Κυτταρομετρίας Ροής για την ανίχνευση της </w:t>
      </w:r>
      <w:r>
        <w:rPr>
          <w:rFonts w:ascii="Times New Roman" w:hAnsi="Times New Roman" w:cs="Times New Roman"/>
          <w:sz w:val="24"/>
          <w:szCs w:val="24"/>
          <w:lang w:val="en-US"/>
        </w:rPr>
        <w:t>MRD</w:t>
      </w:r>
      <w:r w:rsidRPr="00A06DAD">
        <w:rPr>
          <w:rFonts w:ascii="Times New Roman" w:hAnsi="Times New Roman" w:cs="Times New Roman"/>
          <w:sz w:val="24"/>
          <w:szCs w:val="24"/>
        </w:rPr>
        <w:t xml:space="preserve"> </w:t>
      </w:r>
      <w:r>
        <w:rPr>
          <w:rFonts w:ascii="Times New Roman" w:hAnsi="Times New Roman" w:cs="Times New Roman"/>
          <w:sz w:val="24"/>
          <w:szCs w:val="24"/>
        </w:rPr>
        <w:t xml:space="preserve">πραγματοποιήθηκε ακολουθώντας τις συστάσεις της Ευρωπαϊκής Κοινοπραξίας </w:t>
      </w:r>
      <w:r>
        <w:rPr>
          <w:rFonts w:ascii="Times New Roman" w:hAnsi="Times New Roman" w:cs="Times New Roman"/>
          <w:sz w:val="24"/>
          <w:szCs w:val="24"/>
          <w:lang w:val="en-US"/>
        </w:rPr>
        <w:t>Euroflow</w:t>
      </w:r>
      <w:r>
        <w:rPr>
          <w:rFonts w:ascii="Times New Roman" w:hAnsi="Times New Roman" w:cs="Times New Roman"/>
          <w:sz w:val="24"/>
          <w:szCs w:val="24"/>
        </w:rPr>
        <w:t xml:space="preserve"> </w:t>
      </w:r>
      <w:r w:rsidRPr="00A06DAD">
        <w:rPr>
          <w:rFonts w:ascii="Times New Roman" w:hAnsi="Times New Roman" w:cs="Times New Roman"/>
          <w:sz w:val="24"/>
          <w:szCs w:val="24"/>
        </w:rPr>
        <w:t>(</w:t>
      </w:r>
      <w:r w:rsidRPr="00A06DAD">
        <w:rPr>
          <w:rFonts w:ascii="Times New Roman" w:hAnsi="Times New Roman" w:cs="Times New Roman"/>
          <w:sz w:val="24"/>
          <w:szCs w:val="24"/>
          <w:lang w:val="en-US"/>
        </w:rPr>
        <w:t>EuroFlow</w:t>
      </w:r>
      <w:r w:rsidRPr="00A06DAD">
        <w:rPr>
          <w:rFonts w:ascii="Times New Roman" w:hAnsi="Times New Roman" w:cs="Times New Roman"/>
          <w:sz w:val="24"/>
          <w:szCs w:val="24"/>
        </w:rPr>
        <w:t xml:space="preserve">, </w:t>
      </w:r>
      <w:hyperlink r:id="rId5" w:history="1">
        <w:r w:rsidRPr="007B7ADC">
          <w:rPr>
            <w:rStyle w:val="-"/>
            <w:rFonts w:ascii="Times New Roman" w:hAnsi="Times New Roman" w:cs="Times New Roman"/>
            <w:sz w:val="24"/>
            <w:szCs w:val="24"/>
            <w:lang w:val="en-US"/>
          </w:rPr>
          <w:t>http</w:t>
        </w:r>
        <w:r w:rsidRPr="007B7ADC">
          <w:rPr>
            <w:rStyle w:val="-"/>
            <w:rFonts w:ascii="Times New Roman" w:hAnsi="Times New Roman" w:cs="Times New Roman"/>
            <w:sz w:val="24"/>
            <w:szCs w:val="24"/>
          </w:rPr>
          <w:t>://</w:t>
        </w:r>
        <w:r w:rsidRPr="007B7ADC">
          <w:rPr>
            <w:rStyle w:val="-"/>
            <w:rFonts w:ascii="Times New Roman" w:hAnsi="Times New Roman" w:cs="Times New Roman"/>
            <w:sz w:val="24"/>
            <w:szCs w:val="24"/>
            <w:lang w:val="en-US"/>
          </w:rPr>
          <w:t>euroflow</w:t>
        </w:r>
        <w:r w:rsidRPr="007B7ADC">
          <w:rPr>
            <w:rStyle w:val="-"/>
            <w:rFonts w:ascii="Times New Roman" w:hAnsi="Times New Roman" w:cs="Times New Roman"/>
            <w:sz w:val="24"/>
            <w:szCs w:val="24"/>
          </w:rPr>
          <w:t>.</w:t>
        </w:r>
        <w:r w:rsidRPr="007B7ADC">
          <w:rPr>
            <w:rStyle w:val="-"/>
            <w:rFonts w:ascii="Times New Roman" w:hAnsi="Times New Roman" w:cs="Times New Roman"/>
            <w:sz w:val="24"/>
            <w:szCs w:val="24"/>
            <w:lang w:val="en-US"/>
          </w:rPr>
          <w:t>org</w:t>
        </w:r>
      </w:hyperlink>
      <w:r w:rsidRPr="00A06DAD">
        <w:rPr>
          <w:rFonts w:ascii="Times New Roman" w:hAnsi="Times New Roman" w:cs="Times New Roman"/>
          <w:sz w:val="24"/>
          <w:szCs w:val="24"/>
        </w:rPr>
        <w:t xml:space="preserve">) </w:t>
      </w:r>
      <w:r w:rsidR="00436F48" w:rsidRPr="00A06DAD">
        <w:rPr>
          <w:rFonts w:ascii="Times New Roman" w:hAnsi="Times New Roman" w:cs="Times New Roman"/>
          <w:sz w:val="24"/>
          <w:szCs w:val="24"/>
        </w:rPr>
        <w:t>σχετικά με την προετοιμασία του δείγματος, το είδος των χρησιμοποιούμενων αντισωμάτων, τις ρυθμίσεις του κυτταρομέτρου και την ανάλυση των δεδομένων.</w:t>
      </w:r>
      <w:r w:rsidR="00436F48" w:rsidRPr="00436F48">
        <w:rPr>
          <w:rFonts w:ascii="Times New Roman" w:hAnsi="Times New Roman" w:cs="Times New Roman"/>
          <w:sz w:val="24"/>
          <w:szCs w:val="24"/>
        </w:rPr>
        <w:t xml:space="preserve"> </w:t>
      </w:r>
      <w:r w:rsidR="00436F48" w:rsidRPr="00A06DAD">
        <w:rPr>
          <w:rFonts w:ascii="Times New Roman" w:hAnsi="Times New Roman" w:cs="Times New Roman"/>
          <w:sz w:val="24"/>
          <w:szCs w:val="24"/>
        </w:rPr>
        <w:t xml:space="preserve">Πιο συγκεκριμένα, </w:t>
      </w:r>
      <w:r w:rsidR="00436F48">
        <w:rPr>
          <w:rFonts w:ascii="Times New Roman" w:hAnsi="Times New Roman" w:cs="Times New Roman"/>
          <w:sz w:val="24"/>
          <w:szCs w:val="24"/>
        </w:rPr>
        <w:t>το πρωτόκολλο που αναπτύξαμε περιλαμβάνει τα εξής βήματα</w:t>
      </w:r>
      <w:r w:rsidR="00436F48" w:rsidRPr="00436F48">
        <w:rPr>
          <w:rFonts w:ascii="Times New Roman" w:hAnsi="Times New Roman" w:cs="Times New Roman"/>
          <w:sz w:val="24"/>
          <w:szCs w:val="24"/>
        </w:rPr>
        <w:t>:</w:t>
      </w:r>
    </w:p>
    <w:p w:rsidR="00436F48" w:rsidRDefault="00436F48"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Συλλογή των δειγμάτων μυελού των οστών σε </w:t>
      </w:r>
      <w:r w:rsidRPr="00436F48">
        <w:rPr>
          <w:rFonts w:ascii="Times New Roman" w:hAnsi="Times New Roman" w:cs="Times New Roman"/>
          <w:sz w:val="24"/>
          <w:szCs w:val="24"/>
        </w:rPr>
        <w:t>σωληνάρια με αντιπηκτικό Ε</w:t>
      </w:r>
      <w:r w:rsidRPr="00436F48">
        <w:rPr>
          <w:rFonts w:ascii="Times New Roman" w:hAnsi="Times New Roman" w:cs="Times New Roman"/>
          <w:sz w:val="24"/>
          <w:szCs w:val="24"/>
          <w:lang w:val="en-US"/>
        </w:rPr>
        <w:t>DTA</w:t>
      </w:r>
      <w:r>
        <w:rPr>
          <w:rFonts w:ascii="Times New Roman" w:hAnsi="Times New Roman" w:cs="Times New Roman"/>
          <w:sz w:val="24"/>
          <w:szCs w:val="24"/>
        </w:rPr>
        <w:t xml:space="preserve"> </w:t>
      </w:r>
      <w:r w:rsidR="00427097">
        <w:rPr>
          <w:rFonts w:ascii="Times New Roman" w:hAnsi="Times New Roman" w:cs="Times New Roman"/>
          <w:sz w:val="24"/>
          <w:szCs w:val="24"/>
        </w:rPr>
        <w:t xml:space="preserve">και κατεργασία σύμφωνα με το καθιερωμένο πρωτόκολλο </w:t>
      </w:r>
      <w:r w:rsidR="00427097" w:rsidRPr="00436F48">
        <w:rPr>
          <w:rFonts w:ascii="Times New Roman" w:hAnsi="Times New Roman" w:cs="Times New Roman"/>
          <w:sz w:val="24"/>
          <w:szCs w:val="24"/>
        </w:rPr>
        <w:t>«</w:t>
      </w:r>
      <w:r w:rsidR="00427097" w:rsidRPr="00436F48">
        <w:rPr>
          <w:rFonts w:ascii="Times New Roman" w:hAnsi="Times New Roman" w:cs="Times New Roman"/>
          <w:sz w:val="24"/>
          <w:szCs w:val="24"/>
          <w:lang w:val="en-US"/>
        </w:rPr>
        <w:t>bulk</w:t>
      </w:r>
      <w:r w:rsidR="00427097" w:rsidRPr="00436F48">
        <w:rPr>
          <w:rFonts w:ascii="Times New Roman" w:hAnsi="Times New Roman" w:cs="Times New Roman"/>
          <w:sz w:val="24"/>
          <w:szCs w:val="24"/>
        </w:rPr>
        <w:t>-</w:t>
      </w:r>
      <w:r w:rsidR="00427097" w:rsidRPr="00436F48">
        <w:rPr>
          <w:rFonts w:ascii="Times New Roman" w:hAnsi="Times New Roman" w:cs="Times New Roman"/>
          <w:sz w:val="24"/>
          <w:szCs w:val="24"/>
          <w:lang w:val="en-US"/>
        </w:rPr>
        <w:t>lysis</w:t>
      </w:r>
      <w:r w:rsidR="00427097" w:rsidRPr="00436F48">
        <w:rPr>
          <w:rFonts w:ascii="Times New Roman" w:hAnsi="Times New Roman" w:cs="Times New Roman"/>
          <w:sz w:val="24"/>
          <w:szCs w:val="24"/>
        </w:rPr>
        <w:t>» που επιτρέπει την ωσμωτική λύση των ερυθροκυττάρων εξασφαλίζοντας τη βέλτιστη δυνατή ανάκτηση των λευκοκυττάρων</w:t>
      </w:r>
      <w:r w:rsidR="00427097">
        <w:rPr>
          <w:rFonts w:ascii="Times New Roman" w:hAnsi="Times New Roman" w:cs="Times New Roman"/>
          <w:sz w:val="24"/>
          <w:szCs w:val="24"/>
        </w:rPr>
        <w:t xml:space="preserve"> (βήματα 2-</w:t>
      </w:r>
      <w:r w:rsidR="00972DFB">
        <w:rPr>
          <w:rFonts w:ascii="Times New Roman" w:hAnsi="Times New Roman" w:cs="Times New Roman"/>
          <w:sz w:val="24"/>
          <w:szCs w:val="24"/>
        </w:rPr>
        <w:t>6</w:t>
      </w:r>
      <w:r w:rsidR="00427097">
        <w:rPr>
          <w:rFonts w:ascii="Times New Roman" w:hAnsi="Times New Roman" w:cs="Times New Roman"/>
          <w:sz w:val="24"/>
          <w:szCs w:val="24"/>
        </w:rPr>
        <w:t>)</w:t>
      </w:r>
      <w:r w:rsidR="00427097" w:rsidRPr="00436F48">
        <w:rPr>
          <w:rFonts w:ascii="Times New Roman" w:hAnsi="Times New Roman" w:cs="Times New Roman"/>
          <w:sz w:val="24"/>
          <w:szCs w:val="24"/>
        </w:rPr>
        <w:t>.</w:t>
      </w:r>
      <w:r w:rsidR="00427097">
        <w:rPr>
          <w:rFonts w:ascii="Times New Roman" w:hAnsi="Times New Roman" w:cs="Times New Roman"/>
          <w:sz w:val="24"/>
          <w:szCs w:val="24"/>
        </w:rPr>
        <w:t xml:space="preserve"> </w:t>
      </w:r>
    </w:p>
    <w:p w:rsidR="00427097" w:rsidRDefault="00436F48"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Μεταφορά 2</w:t>
      </w:r>
      <w:r>
        <w:rPr>
          <w:rFonts w:ascii="Times New Roman" w:hAnsi="Times New Roman" w:cs="Times New Roman"/>
          <w:sz w:val="24"/>
          <w:szCs w:val="24"/>
          <w:lang w:val="en-US"/>
        </w:rPr>
        <w:t>ml</w:t>
      </w:r>
      <w:r w:rsidRPr="00436F48">
        <w:rPr>
          <w:rFonts w:ascii="Times New Roman" w:hAnsi="Times New Roman" w:cs="Times New Roman"/>
          <w:sz w:val="24"/>
          <w:szCs w:val="24"/>
        </w:rPr>
        <w:t xml:space="preserve"> </w:t>
      </w:r>
      <w:r>
        <w:rPr>
          <w:rFonts w:ascii="Times New Roman" w:hAnsi="Times New Roman" w:cs="Times New Roman"/>
          <w:sz w:val="24"/>
          <w:szCs w:val="24"/>
        </w:rPr>
        <w:t>μυελού σε σωληνάριο όγκου</w:t>
      </w:r>
      <w:r w:rsidR="00427097">
        <w:rPr>
          <w:rFonts w:ascii="Times New Roman" w:hAnsi="Times New Roman" w:cs="Times New Roman"/>
          <w:sz w:val="24"/>
          <w:szCs w:val="24"/>
        </w:rPr>
        <w:t xml:space="preserve"> 50</w:t>
      </w:r>
      <w:r w:rsidR="00427097">
        <w:rPr>
          <w:rFonts w:ascii="Times New Roman" w:hAnsi="Times New Roman" w:cs="Times New Roman"/>
          <w:sz w:val="24"/>
          <w:szCs w:val="24"/>
          <w:lang w:val="en-US"/>
        </w:rPr>
        <w:t>ml</w:t>
      </w:r>
      <w:r w:rsidR="00427097" w:rsidRPr="00427097">
        <w:rPr>
          <w:rFonts w:ascii="Times New Roman" w:hAnsi="Times New Roman" w:cs="Times New Roman"/>
          <w:sz w:val="24"/>
          <w:szCs w:val="24"/>
        </w:rPr>
        <w:t xml:space="preserve"> </w:t>
      </w:r>
      <w:r w:rsidR="00427097">
        <w:rPr>
          <w:rFonts w:ascii="Times New Roman" w:hAnsi="Times New Roman" w:cs="Times New Roman"/>
          <w:sz w:val="24"/>
          <w:szCs w:val="24"/>
        </w:rPr>
        <w:t>και συμπλήρωση έως</w:t>
      </w:r>
      <w:r w:rsidR="00427097" w:rsidRPr="00427097">
        <w:rPr>
          <w:rFonts w:ascii="Times New Roman" w:hAnsi="Times New Roman" w:cs="Times New Roman"/>
          <w:sz w:val="24"/>
          <w:szCs w:val="24"/>
        </w:rPr>
        <w:t xml:space="preserve"> </w:t>
      </w:r>
      <w:r w:rsidR="00427097">
        <w:rPr>
          <w:rFonts w:ascii="Times New Roman" w:hAnsi="Times New Roman" w:cs="Times New Roman"/>
          <w:sz w:val="24"/>
          <w:szCs w:val="24"/>
        </w:rPr>
        <w:t>την πλήρωση του σωληναρίου με λυτικό</w:t>
      </w:r>
      <w:r w:rsidR="00427097" w:rsidRPr="00427097">
        <w:rPr>
          <w:rFonts w:ascii="Times New Roman" w:hAnsi="Times New Roman" w:cs="Times New Roman"/>
          <w:sz w:val="24"/>
          <w:szCs w:val="24"/>
        </w:rPr>
        <w:t xml:space="preserve"> </w:t>
      </w:r>
      <w:r w:rsidR="00427097">
        <w:rPr>
          <w:rFonts w:ascii="Times New Roman" w:hAnsi="Times New Roman" w:cs="Times New Roman"/>
          <w:sz w:val="24"/>
          <w:szCs w:val="24"/>
        </w:rPr>
        <w:t xml:space="preserve">διάλυμα </w:t>
      </w:r>
      <w:r w:rsidR="00427097">
        <w:rPr>
          <w:rFonts w:ascii="Times New Roman" w:hAnsi="Times New Roman" w:cs="Times New Roman"/>
          <w:sz w:val="24"/>
          <w:szCs w:val="24"/>
          <w:lang w:val="en-US"/>
        </w:rPr>
        <w:t>Pharmlyse</w:t>
      </w:r>
      <w:r w:rsidR="00427097" w:rsidRPr="00427097">
        <w:rPr>
          <w:rFonts w:ascii="Times New Roman" w:hAnsi="Times New Roman" w:cs="Times New Roman"/>
          <w:sz w:val="24"/>
          <w:szCs w:val="24"/>
        </w:rPr>
        <w:t xml:space="preserve"> (</w:t>
      </w:r>
      <w:r w:rsidR="00427097">
        <w:rPr>
          <w:rFonts w:ascii="Times New Roman" w:hAnsi="Times New Roman" w:cs="Times New Roman"/>
          <w:sz w:val="24"/>
          <w:szCs w:val="24"/>
          <w:lang w:val="en-US"/>
        </w:rPr>
        <w:t>Cat</w:t>
      </w:r>
      <w:r w:rsidR="00427097" w:rsidRPr="00427097">
        <w:rPr>
          <w:rFonts w:ascii="Times New Roman" w:hAnsi="Times New Roman" w:cs="Times New Roman"/>
          <w:sz w:val="24"/>
          <w:szCs w:val="24"/>
        </w:rPr>
        <w:t xml:space="preserve"> </w:t>
      </w:r>
      <w:r w:rsidR="00427097">
        <w:rPr>
          <w:rFonts w:ascii="Times New Roman" w:hAnsi="Times New Roman" w:cs="Times New Roman"/>
          <w:sz w:val="24"/>
          <w:szCs w:val="24"/>
          <w:lang w:val="en-US"/>
        </w:rPr>
        <w:t>No</w:t>
      </w:r>
      <w:r w:rsidR="00427097" w:rsidRPr="00427097">
        <w:rPr>
          <w:rFonts w:ascii="Times New Roman" w:hAnsi="Times New Roman" w:cs="Times New Roman"/>
          <w:sz w:val="24"/>
          <w:szCs w:val="24"/>
        </w:rPr>
        <w:t xml:space="preserve"> 555899, </w:t>
      </w:r>
      <w:r w:rsidR="00427097">
        <w:rPr>
          <w:rFonts w:ascii="Times New Roman" w:hAnsi="Times New Roman" w:cs="Times New Roman"/>
          <w:sz w:val="24"/>
          <w:szCs w:val="24"/>
          <w:lang w:val="en-US"/>
        </w:rPr>
        <w:t>BD</w:t>
      </w:r>
      <w:r w:rsidR="00427097">
        <w:rPr>
          <w:rFonts w:ascii="Times New Roman" w:hAnsi="Times New Roman" w:cs="Times New Roman"/>
          <w:sz w:val="24"/>
          <w:szCs w:val="24"/>
        </w:rPr>
        <w:t>)</w:t>
      </w:r>
      <w:r w:rsidR="00427097" w:rsidRPr="00427097">
        <w:rPr>
          <w:rFonts w:ascii="Times New Roman" w:hAnsi="Times New Roman" w:cs="Times New Roman"/>
          <w:sz w:val="24"/>
          <w:szCs w:val="24"/>
        </w:rPr>
        <w:t xml:space="preserve">. </w:t>
      </w:r>
    </w:p>
    <w:p w:rsidR="00427097" w:rsidRPr="00427097" w:rsidRDefault="00427097"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Επώαση για 15 λεπτά και φυγοκέντρηση στις 1750</w:t>
      </w:r>
      <w:r>
        <w:rPr>
          <w:rFonts w:ascii="Times New Roman" w:hAnsi="Times New Roman" w:cs="Times New Roman"/>
          <w:sz w:val="24"/>
          <w:szCs w:val="24"/>
          <w:lang w:val="en-US"/>
        </w:rPr>
        <w:t>rpm</w:t>
      </w:r>
      <w:r w:rsidRPr="00427097">
        <w:rPr>
          <w:rFonts w:ascii="Times New Roman" w:hAnsi="Times New Roman" w:cs="Times New Roman"/>
          <w:sz w:val="24"/>
          <w:szCs w:val="24"/>
        </w:rPr>
        <w:t xml:space="preserve"> </w:t>
      </w:r>
      <w:r>
        <w:rPr>
          <w:rFonts w:ascii="Times New Roman" w:hAnsi="Times New Roman" w:cs="Times New Roman"/>
          <w:sz w:val="24"/>
          <w:szCs w:val="24"/>
        </w:rPr>
        <w:t>για 10 λεπτά σε 25</w:t>
      </w:r>
      <w:r w:rsidRPr="00427097">
        <w:rPr>
          <w:rFonts w:ascii="Times New Roman" w:hAnsi="Times New Roman" w:cs="Times New Roman"/>
          <w:sz w:val="24"/>
          <w:szCs w:val="24"/>
        </w:rPr>
        <w:t xml:space="preserve"> </w:t>
      </w:r>
      <w:r w:rsidRPr="00427097">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r>
        <w:rPr>
          <w:rFonts w:ascii="Times New Roman" w:hAnsi="Times New Roman" w:cs="Times New Roman"/>
          <w:sz w:val="24"/>
          <w:szCs w:val="24"/>
        </w:rPr>
        <w:t>.</w:t>
      </w:r>
      <w:r w:rsidRPr="00427097">
        <w:rPr>
          <w:rFonts w:ascii="Times New Roman" w:hAnsi="Times New Roman" w:cs="Times New Roman"/>
          <w:sz w:val="24"/>
          <w:szCs w:val="24"/>
        </w:rPr>
        <w:t xml:space="preserve"> </w:t>
      </w:r>
    </w:p>
    <w:p w:rsidR="00427097" w:rsidRDefault="00427097"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Απόχυση υπερκειμένου και επαναδιαλυτοποίηση πελέττας σε 2</w:t>
      </w:r>
      <w:r>
        <w:rPr>
          <w:rFonts w:ascii="Times New Roman" w:hAnsi="Times New Roman" w:cs="Times New Roman"/>
          <w:sz w:val="24"/>
          <w:szCs w:val="24"/>
          <w:lang w:val="en-US"/>
        </w:rPr>
        <w:t>ml</w:t>
      </w:r>
      <w:r w:rsidRPr="00427097">
        <w:rPr>
          <w:rFonts w:ascii="Times New Roman" w:hAnsi="Times New Roman" w:cs="Times New Roman"/>
          <w:sz w:val="24"/>
          <w:szCs w:val="24"/>
        </w:rPr>
        <w:t xml:space="preserve"> </w:t>
      </w:r>
      <w:r>
        <w:rPr>
          <w:rFonts w:ascii="Times New Roman" w:hAnsi="Times New Roman" w:cs="Times New Roman"/>
          <w:sz w:val="24"/>
          <w:szCs w:val="24"/>
        </w:rPr>
        <w:t>ισότονου διαλύματος φωσφορικού διαλύ</w:t>
      </w:r>
      <w:r w:rsidRPr="00436F48">
        <w:rPr>
          <w:rFonts w:ascii="Times New Roman" w:hAnsi="Times New Roman" w:cs="Times New Roman"/>
          <w:sz w:val="24"/>
          <w:szCs w:val="24"/>
        </w:rPr>
        <w:t>μα</w:t>
      </w:r>
      <w:r>
        <w:rPr>
          <w:rFonts w:ascii="Times New Roman" w:hAnsi="Times New Roman" w:cs="Times New Roman"/>
          <w:sz w:val="24"/>
          <w:szCs w:val="24"/>
        </w:rPr>
        <w:t>τος</w:t>
      </w:r>
      <w:r w:rsidRPr="00436F48">
        <w:rPr>
          <w:rFonts w:ascii="Times New Roman" w:hAnsi="Times New Roman" w:cs="Times New Roman"/>
          <w:sz w:val="24"/>
          <w:szCs w:val="24"/>
        </w:rPr>
        <w:t xml:space="preserve"> (</w:t>
      </w:r>
      <w:r w:rsidRPr="00436F48">
        <w:rPr>
          <w:rFonts w:ascii="Times New Roman" w:hAnsi="Times New Roman" w:cs="Times New Roman"/>
          <w:sz w:val="24"/>
          <w:szCs w:val="24"/>
          <w:lang w:val="en-US"/>
        </w:rPr>
        <w:t>PBS</w:t>
      </w:r>
      <w:r w:rsidRPr="00436F48">
        <w:rPr>
          <w:rFonts w:ascii="Times New Roman" w:hAnsi="Times New Roman" w:cs="Times New Roman"/>
          <w:sz w:val="24"/>
          <w:szCs w:val="24"/>
        </w:rPr>
        <w:t>) που περιείχε 0,5% ορό βοός (</w:t>
      </w:r>
      <w:r w:rsidRPr="00436F48">
        <w:rPr>
          <w:rFonts w:ascii="Times New Roman" w:hAnsi="Times New Roman" w:cs="Times New Roman"/>
          <w:sz w:val="24"/>
          <w:szCs w:val="24"/>
          <w:lang w:val="en-US"/>
        </w:rPr>
        <w:t>FBS</w:t>
      </w:r>
      <w:r>
        <w:rPr>
          <w:rFonts w:ascii="Times New Roman" w:hAnsi="Times New Roman" w:cs="Times New Roman"/>
          <w:sz w:val="24"/>
          <w:szCs w:val="24"/>
        </w:rPr>
        <w:t>) (Διάλυμα 1). Αφού πραγματοποιηθεί η διάλυση της πελέττας το σωληνάριο πληρώνεται μέχρι τελικού όγκου 50</w:t>
      </w:r>
      <w:r>
        <w:rPr>
          <w:rFonts w:ascii="Times New Roman" w:hAnsi="Times New Roman" w:cs="Times New Roman"/>
          <w:sz w:val="24"/>
          <w:szCs w:val="24"/>
          <w:lang w:val="en-US"/>
        </w:rPr>
        <w:t>ml</w:t>
      </w:r>
      <w:r w:rsidRPr="00427097">
        <w:rPr>
          <w:rFonts w:ascii="Times New Roman" w:hAnsi="Times New Roman" w:cs="Times New Roman"/>
          <w:sz w:val="24"/>
          <w:szCs w:val="24"/>
        </w:rPr>
        <w:t xml:space="preserve"> </w:t>
      </w:r>
      <w:r>
        <w:rPr>
          <w:rFonts w:ascii="Times New Roman" w:hAnsi="Times New Roman" w:cs="Times New Roman"/>
          <w:sz w:val="24"/>
          <w:szCs w:val="24"/>
        </w:rPr>
        <w:t xml:space="preserve">με το Διάλυμα 1. </w:t>
      </w:r>
    </w:p>
    <w:p w:rsidR="00427097" w:rsidRDefault="00427097" w:rsidP="00427097">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Φυγοκέντρηση στις 1500rpm για 5</w:t>
      </w:r>
      <w:r w:rsidRPr="00427097">
        <w:rPr>
          <w:rFonts w:ascii="Times New Roman" w:hAnsi="Times New Roman" w:cs="Times New Roman"/>
          <w:sz w:val="24"/>
          <w:szCs w:val="24"/>
        </w:rPr>
        <w:t xml:space="preserve"> λεπτά σε 25 </w:t>
      </w:r>
      <w:r w:rsidRPr="00427097">
        <w:rPr>
          <w:rFonts w:ascii="Times New Roman" w:hAnsi="Times New Roman" w:cs="Times New Roman"/>
          <w:sz w:val="24"/>
          <w:szCs w:val="24"/>
          <w:vertAlign w:val="superscript"/>
        </w:rPr>
        <w:t>o</w:t>
      </w:r>
      <w:r w:rsidRPr="00427097">
        <w:rPr>
          <w:rFonts w:ascii="Times New Roman" w:hAnsi="Times New Roman" w:cs="Times New Roman"/>
          <w:sz w:val="24"/>
          <w:szCs w:val="24"/>
        </w:rPr>
        <w:t>C</w:t>
      </w:r>
      <w:r>
        <w:rPr>
          <w:rFonts w:ascii="Times New Roman" w:hAnsi="Times New Roman" w:cs="Times New Roman"/>
          <w:sz w:val="24"/>
          <w:szCs w:val="24"/>
        </w:rPr>
        <w:t>.</w:t>
      </w:r>
    </w:p>
    <w:p w:rsidR="00427097" w:rsidRDefault="00427097"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Απόχυση υπερκειμένου και επαναιώρηση σε 500μ</w:t>
      </w:r>
      <w:r>
        <w:rPr>
          <w:rFonts w:ascii="Times New Roman" w:hAnsi="Times New Roman" w:cs="Times New Roman"/>
          <w:sz w:val="24"/>
          <w:szCs w:val="24"/>
          <w:lang w:val="en-US"/>
        </w:rPr>
        <w:t>l</w:t>
      </w:r>
      <w:r w:rsidRPr="00427097">
        <w:rPr>
          <w:rFonts w:ascii="Times New Roman" w:hAnsi="Times New Roman" w:cs="Times New Roman"/>
          <w:sz w:val="24"/>
          <w:szCs w:val="24"/>
        </w:rPr>
        <w:t xml:space="preserve"> </w:t>
      </w:r>
      <w:r>
        <w:rPr>
          <w:rFonts w:ascii="Times New Roman" w:hAnsi="Times New Roman" w:cs="Times New Roman"/>
          <w:sz w:val="24"/>
          <w:szCs w:val="24"/>
        </w:rPr>
        <w:t xml:space="preserve">Διαλύματος 1. </w:t>
      </w:r>
    </w:p>
    <w:p w:rsidR="00427097" w:rsidRPr="00972DFB" w:rsidRDefault="00427097" w:rsidP="00436F48">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Εκτίμηση </w:t>
      </w:r>
      <w:r w:rsidR="00972DFB">
        <w:rPr>
          <w:rFonts w:ascii="Times New Roman" w:hAnsi="Times New Roman" w:cs="Times New Roman"/>
          <w:sz w:val="24"/>
          <w:szCs w:val="24"/>
        </w:rPr>
        <w:t xml:space="preserve">της ποσότητας και της βιωσιμότητας των κυττάρων σε αιμοκυτταρόμετρο (πλάκα </w:t>
      </w:r>
      <w:r w:rsidR="00972DFB">
        <w:rPr>
          <w:rFonts w:ascii="Times New Roman" w:hAnsi="Times New Roman" w:cs="Times New Roman"/>
          <w:sz w:val="24"/>
          <w:szCs w:val="24"/>
          <w:lang w:val="en-US"/>
        </w:rPr>
        <w:t>Neubauer</w:t>
      </w:r>
      <w:r w:rsidR="00972DFB" w:rsidRPr="00972DFB">
        <w:rPr>
          <w:rFonts w:ascii="Times New Roman" w:hAnsi="Times New Roman" w:cs="Times New Roman"/>
          <w:sz w:val="24"/>
          <w:szCs w:val="24"/>
        </w:rPr>
        <w:t>)</w:t>
      </w:r>
      <w:r w:rsidR="00972DFB">
        <w:rPr>
          <w:rFonts w:ascii="Times New Roman" w:hAnsi="Times New Roman" w:cs="Times New Roman"/>
          <w:sz w:val="24"/>
          <w:szCs w:val="24"/>
        </w:rPr>
        <w:t>.</w:t>
      </w:r>
    </w:p>
    <w:p w:rsidR="00942824" w:rsidRDefault="00972DFB" w:rsidP="00972DFB">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Μεταφορά δέκα εκατομμυρίων κυττάρων διαλυμένων σε </w:t>
      </w:r>
      <w:r w:rsidR="00942824">
        <w:rPr>
          <w:rFonts w:ascii="Times New Roman" w:hAnsi="Times New Roman" w:cs="Times New Roman"/>
          <w:sz w:val="24"/>
          <w:szCs w:val="24"/>
        </w:rPr>
        <w:t>150</w:t>
      </w:r>
      <w:r w:rsidR="00942824" w:rsidRPr="00972DFB">
        <w:rPr>
          <w:rFonts w:ascii="Times New Roman" w:hAnsi="Times New Roman" w:cs="Times New Roman"/>
          <w:sz w:val="24"/>
          <w:szCs w:val="24"/>
        </w:rPr>
        <w:t>μl</w:t>
      </w:r>
      <w:r w:rsidR="00942824">
        <w:rPr>
          <w:rFonts w:ascii="Times New Roman" w:hAnsi="Times New Roman" w:cs="Times New Roman"/>
          <w:sz w:val="24"/>
          <w:szCs w:val="24"/>
        </w:rPr>
        <w:t xml:space="preserve"> </w:t>
      </w:r>
      <w:r>
        <w:rPr>
          <w:rFonts w:ascii="Times New Roman" w:hAnsi="Times New Roman" w:cs="Times New Roman"/>
          <w:sz w:val="24"/>
          <w:szCs w:val="24"/>
        </w:rPr>
        <w:t>Διαλύματος Α</w:t>
      </w:r>
      <w:r w:rsidRPr="00972DFB">
        <w:rPr>
          <w:rFonts w:ascii="Times New Roman" w:hAnsi="Times New Roman" w:cs="Times New Roman"/>
          <w:sz w:val="24"/>
          <w:szCs w:val="24"/>
        </w:rPr>
        <w:t xml:space="preserve">  </w:t>
      </w:r>
      <w:r w:rsidR="00436F48" w:rsidRPr="00972DFB">
        <w:rPr>
          <w:rFonts w:ascii="Times New Roman" w:hAnsi="Times New Roman" w:cs="Times New Roman"/>
          <w:sz w:val="24"/>
          <w:szCs w:val="24"/>
        </w:rPr>
        <w:t xml:space="preserve">σε </w:t>
      </w:r>
      <w:r w:rsidR="00436F48" w:rsidRPr="00942824">
        <w:rPr>
          <w:rFonts w:ascii="Times New Roman" w:hAnsi="Times New Roman" w:cs="Times New Roman"/>
          <w:b/>
          <w:sz w:val="24"/>
          <w:szCs w:val="24"/>
        </w:rPr>
        <w:t>δύο</w:t>
      </w:r>
      <w:r w:rsidRPr="00942824">
        <w:rPr>
          <w:rFonts w:ascii="Times New Roman" w:hAnsi="Times New Roman" w:cs="Times New Roman"/>
          <w:b/>
          <w:sz w:val="24"/>
          <w:szCs w:val="24"/>
        </w:rPr>
        <w:t xml:space="preserve"> ανεξάρτητα</w:t>
      </w:r>
      <w:r w:rsidR="00436F48" w:rsidRPr="00942824">
        <w:rPr>
          <w:rFonts w:ascii="Times New Roman" w:hAnsi="Times New Roman" w:cs="Times New Roman"/>
          <w:b/>
          <w:sz w:val="24"/>
          <w:szCs w:val="24"/>
        </w:rPr>
        <w:t xml:space="preserve"> σωληνάρια</w:t>
      </w:r>
      <w:r>
        <w:rPr>
          <w:rFonts w:ascii="Times New Roman" w:hAnsi="Times New Roman" w:cs="Times New Roman"/>
          <w:sz w:val="24"/>
          <w:szCs w:val="24"/>
        </w:rPr>
        <w:t xml:space="preserve"> συνολικής </w:t>
      </w:r>
      <w:r w:rsidR="00942824">
        <w:rPr>
          <w:rFonts w:ascii="Times New Roman" w:hAnsi="Times New Roman" w:cs="Times New Roman"/>
          <w:sz w:val="24"/>
          <w:szCs w:val="24"/>
        </w:rPr>
        <w:t>χωρητικότητας</w:t>
      </w:r>
      <w:r>
        <w:rPr>
          <w:rFonts w:ascii="Times New Roman" w:hAnsi="Times New Roman" w:cs="Times New Roman"/>
          <w:sz w:val="24"/>
          <w:szCs w:val="24"/>
        </w:rPr>
        <w:t xml:space="preserve"> 3</w:t>
      </w:r>
      <w:r>
        <w:rPr>
          <w:rFonts w:ascii="Times New Roman" w:hAnsi="Times New Roman" w:cs="Times New Roman"/>
          <w:sz w:val="24"/>
          <w:szCs w:val="24"/>
          <w:lang w:val="en-US"/>
        </w:rPr>
        <w:t>ml</w:t>
      </w:r>
      <w:r w:rsidR="00942824">
        <w:rPr>
          <w:rFonts w:ascii="Times New Roman" w:hAnsi="Times New Roman" w:cs="Times New Roman"/>
          <w:sz w:val="24"/>
          <w:szCs w:val="24"/>
        </w:rPr>
        <w:t>.</w:t>
      </w:r>
    </w:p>
    <w:p w:rsidR="00942824" w:rsidRPr="00942824" w:rsidRDefault="00436F48" w:rsidP="00942824">
      <w:pPr>
        <w:pStyle w:val="a6"/>
        <w:numPr>
          <w:ilvl w:val="0"/>
          <w:numId w:val="1"/>
        </w:numPr>
        <w:spacing w:after="0" w:line="360" w:lineRule="auto"/>
        <w:jc w:val="both"/>
        <w:rPr>
          <w:rFonts w:ascii="Times New Roman" w:hAnsi="Times New Roman" w:cs="Times New Roman"/>
          <w:sz w:val="24"/>
          <w:szCs w:val="24"/>
        </w:rPr>
      </w:pPr>
      <w:r w:rsidRPr="00942824">
        <w:rPr>
          <w:rFonts w:ascii="Times New Roman" w:hAnsi="Times New Roman" w:cs="Times New Roman"/>
          <w:sz w:val="24"/>
          <w:szCs w:val="24"/>
        </w:rPr>
        <w:t xml:space="preserve"> </w:t>
      </w:r>
      <w:r w:rsidR="00942824">
        <w:rPr>
          <w:rFonts w:ascii="Times New Roman" w:hAnsi="Times New Roman" w:cs="Times New Roman"/>
          <w:sz w:val="24"/>
          <w:szCs w:val="24"/>
        </w:rPr>
        <w:t xml:space="preserve">Χρώση των κυττάρων με δύο ανεξάρτητα οχτάχρωμα </w:t>
      </w:r>
      <w:r w:rsidR="00942824">
        <w:rPr>
          <w:rFonts w:ascii="Times New Roman" w:hAnsi="Times New Roman" w:cs="Times New Roman"/>
          <w:sz w:val="24"/>
          <w:szCs w:val="24"/>
          <w:lang w:val="en-US"/>
        </w:rPr>
        <w:t>panel</w:t>
      </w:r>
      <w:r w:rsidR="00942824">
        <w:rPr>
          <w:rFonts w:ascii="Times New Roman" w:hAnsi="Times New Roman" w:cs="Times New Roman"/>
          <w:sz w:val="24"/>
          <w:szCs w:val="24"/>
        </w:rPr>
        <w:t xml:space="preserve"> αντισωμάτων.</w:t>
      </w:r>
      <w:r w:rsidR="00942824" w:rsidRPr="00942824">
        <w:rPr>
          <w:rFonts w:ascii="Times New Roman" w:hAnsi="Times New Roman" w:cs="Times New Roman"/>
          <w:sz w:val="24"/>
          <w:szCs w:val="24"/>
        </w:rPr>
        <w:t xml:space="preserve">  Και τα δύο </w:t>
      </w:r>
      <w:r w:rsidR="00942824" w:rsidRPr="00942824">
        <w:rPr>
          <w:rFonts w:ascii="Times New Roman" w:hAnsi="Times New Roman" w:cs="Times New Roman"/>
          <w:sz w:val="24"/>
          <w:szCs w:val="24"/>
          <w:lang w:val="en-US"/>
        </w:rPr>
        <w:t>panel</w:t>
      </w:r>
      <w:r w:rsidR="00942824" w:rsidRPr="00942824">
        <w:rPr>
          <w:rFonts w:ascii="Times New Roman" w:hAnsi="Times New Roman" w:cs="Times New Roman"/>
          <w:sz w:val="24"/>
          <w:szCs w:val="24"/>
        </w:rPr>
        <w:t xml:space="preserve"> περιελάμβαναν από κοινού αντισώματα για τους δείκτες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19-</w:t>
      </w:r>
      <w:r w:rsidR="00942824" w:rsidRPr="00942824">
        <w:rPr>
          <w:rFonts w:ascii="Times New Roman" w:hAnsi="Times New Roman" w:cs="Times New Roman"/>
          <w:sz w:val="24"/>
          <w:szCs w:val="24"/>
          <w:lang w:val="en-US"/>
        </w:rPr>
        <w:t>PEC</w:t>
      </w:r>
      <w:r w:rsidR="00942824" w:rsidRPr="00942824">
        <w:rPr>
          <w:rFonts w:ascii="Times New Roman" w:hAnsi="Times New Roman" w:cs="Times New Roman"/>
          <w:sz w:val="24"/>
          <w:szCs w:val="24"/>
        </w:rPr>
        <w:t xml:space="preserve">7,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27-</w:t>
      </w:r>
      <w:r w:rsidR="00942824" w:rsidRPr="00942824">
        <w:rPr>
          <w:rFonts w:ascii="Times New Roman" w:hAnsi="Times New Roman" w:cs="Times New Roman"/>
          <w:sz w:val="24"/>
          <w:szCs w:val="24"/>
          <w:lang w:val="en-US"/>
        </w:rPr>
        <w:t>BV</w:t>
      </w:r>
      <w:r w:rsidR="00942824" w:rsidRPr="00942824">
        <w:rPr>
          <w:rFonts w:ascii="Times New Roman" w:hAnsi="Times New Roman" w:cs="Times New Roman"/>
          <w:sz w:val="24"/>
          <w:szCs w:val="24"/>
        </w:rPr>
        <w:t xml:space="preserve">510,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38-</w:t>
      </w:r>
      <w:r w:rsidR="00942824" w:rsidRPr="00942824">
        <w:rPr>
          <w:rFonts w:ascii="Times New Roman" w:hAnsi="Times New Roman" w:cs="Times New Roman"/>
          <w:sz w:val="24"/>
          <w:szCs w:val="24"/>
          <w:lang w:val="en-US"/>
        </w:rPr>
        <w:t>FITC</w:t>
      </w:r>
      <w:r w:rsidR="00942824" w:rsidRPr="00942824">
        <w:rPr>
          <w:rFonts w:ascii="Times New Roman" w:hAnsi="Times New Roman" w:cs="Times New Roman"/>
          <w:sz w:val="24"/>
          <w:szCs w:val="24"/>
        </w:rPr>
        <w:t xml:space="preserve">,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45-</w:t>
      </w:r>
      <w:r w:rsidR="00942824" w:rsidRPr="00942824">
        <w:rPr>
          <w:rFonts w:ascii="Times New Roman" w:hAnsi="Times New Roman" w:cs="Times New Roman"/>
          <w:sz w:val="24"/>
          <w:szCs w:val="24"/>
          <w:lang w:val="en-US"/>
        </w:rPr>
        <w:t>PERCP</w:t>
      </w:r>
      <w:r w:rsidR="00942824" w:rsidRPr="00942824">
        <w:rPr>
          <w:rFonts w:ascii="Times New Roman" w:hAnsi="Times New Roman" w:cs="Times New Roman"/>
          <w:sz w:val="24"/>
          <w:szCs w:val="24"/>
        </w:rPr>
        <w:t xml:space="preserve">,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56-</w:t>
      </w:r>
      <w:r w:rsidR="00942824" w:rsidRPr="00942824">
        <w:rPr>
          <w:rFonts w:ascii="Times New Roman" w:hAnsi="Times New Roman" w:cs="Times New Roman"/>
          <w:sz w:val="24"/>
          <w:szCs w:val="24"/>
          <w:lang w:val="en-US"/>
        </w:rPr>
        <w:t>PE</w:t>
      </w:r>
      <w:r w:rsidR="00942824" w:rsidRPr="00942824">
        <w:rPr>
          <w:rFonts w:ascii="Times New Roman" w:hAnsi="Times New Roman" w:cs="Times New Roman"/>
          <w:sz w:val="24"/>
          <w:szCs w:val="24"/>
        </w:rPr>
        <w:t xml:space="preserve"> και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138-</w:t>
      </w:r>
      <w:r w:rsidR="00942824" w:rsidRPr="00942824">
        <w:rPr>
          <w:rFonts w:ascii="Times New Roman" w:hAnsi="Times New Roman" w:cs="Times New Roman"/>
          <w:sz w:val="24"/>
          <w:szCs w:val="24"/>
          <w:lang w:val="en-US"/>
        </w:rPr>
        <w:t>BV</w:t>
      </w:r>
      <w:r w:rsidR="00942824" w:rsidRPr="00942824">
        <w:rPr>
          <w:rFonts w:ascii="Times New Roman" w:hAnsi="Times New Roman" w:cs="Times New Roman"/>
          <w:sz w:val="24"/>
          <w:szCs w:val="24"/>
        </w:rPr>
        <w:t xml:space="preserve">421, ενώ στο πρώτο </w:t>
      </w:r>
      <w:r w:rsidR="00942824" w:rsidRPr="00942824">
        <w:rPr>
          <w:rFonts w:ascii="Times New Roman" w:hAnsi="Times New Roman" w:cs="Times New Roman"/>
          <w:sz w:val="24"/>
          <w:szCs w:val="24"/>
          <w:lang w:val="en-US"/>
        </w:rPr>
        <w:t>panel</w:t>
      </w:r>
      <w:r w:rsidR="00942824" w:rsidRPr="00942824">
        <w:rPr>
          <w:rFonts w:ascii="Times New Roman" w:hAnsi="Times New Roman" w:cs="Times New Roman"/>
          <w:sz w:val="24"/>
          <w:szCs w:val="24"/>
        </w:rPr>
        <w:t xml:space="preserve"> (επιφανειακό </w:t>
      </w:r>
      <w:r w:rsidR="00942824" w:rsidRPr="00942824">
        <w:rPr>
          <w:rFonts w:ascii="Times New Roman" w:hAnsi="Times New Roman" w:cs="Times New Roman"/>
          <w:sz w:val="24"/>
          <w:szCs w:val="24"/>
          <w:lang w:val="en-US"/>
        </w:rPr>
        <w:t>panel</w:t>
      </w:r>
      <w:r w:rsidR="00942824" w:rsidRPr="00942824">
        <w:rPr>
          <w:rFonts w:ascii="Times New Roman" w:hAnsi="Times New Roman" w:cs="Times New Roman"/>
          <w:sz w:val="24"/>
          <w:szCs w:val="24"/>
        </w:rPr>
        <w:t xml:space="preserve">) προστέθηκαν επιπλέον αντισώματα έναντι των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81-</w:t>
      </w:r>
      <w:r w:rsidR="00942824" w:rsidRPr="00942824">
        <w:rPr>
          <w:rFonts w:ascii="Times New Roman" w:hAnsi="Times New Roman" w:cs="Times New Roman"/>
          <w:sz w:val="24"/>
          <w:szCs w:val="24"/>
          <w:lang w:val="en-US"/>
        </w:rPr>
        <w:t>APCC</w:t>
      </w:r>
      <w:r w:rsidR="00942824" w:rsidRPr="00942824">
        <w:rPr>
          <w:rFonts w:ascii="Times New Roman" w:hAnsi="Times New Roman" w:cs="Times New Roman"/>
          <w:sz w:val="24"/>
          <w:szCs w:val="24"/>
        </w:rPr>
        <w:t xml:space="preserve">750 </w:t>
      </w:r>
      <w:r w:rsidR="00942824" w:rsidRPr="00942824">
        <w:rPr>
          <w:rFonts w:ascii="Times New Roman" w:hAnsi="Times New Roman" w:cs="Times New Roman"/>
          <w:sz w:val="24"/>
          <w:szCs w:val="24"/>
          <w:lang w:val="en-US"/>
        </w:rPr>
        <w:t>and</w:t>
      </w:r>
      <w:r w:rsidR="00942824" w:rsidRPr="00942824">
        <w:rPr>
          <w:rFonts w:ascii="Times New Roman" w:hAnsi="Times New Roman" w:cs="Times New Roman"/>
          <w:sz w:val="24"/>
          <w:szCs w:val="24"/>
        </w:rPr>
        <w:t xml:space="preserve"> </w:t>
      </w:r>
      <w:r w:rsidR="00942824" w:rsidRPr="00942824">
        <w:rPr>
          <w:rFonts w:ascii="Times New Roman" w:hAnsi="Times New Roman" w:cs="Times New Roman"/>
          <w:sz w:val="24"/>
          <w:szCs w:val="24"/>
          <w:lang w:val="en-US"/>
        </w:rPr>
        <w:t>CD</w:t>
      </w:r>
      <w:r w:rsidR="00942824" w:rsidRPr="00942824">
        <w:rPr>
          <w:rFonts w:ascii="Times New Roman" w:hAnsi="Times New Roman" w:cs="Times New Roman"/>
          <w:sz w:val="24"/>
          <w:szCs w:val="24"/>
        </w:rPr>
        <w:t>117-</w:t>
      </w:r>
      <w:r w:rsidR="00942824" w:rsidRPr="00942824">
        <w:rPr>
          <w:rFonts w:ascii="Times New Roman" w:hAnsi="Times New Roman" w:cs="Times New Roman"/>
          <w:sz w:val="24"/>
          <w:szCs w:val="24"/>
          <w:lang w:val="en-US"/>
        </w:rPr>
        <w:t>APC</w:t>
      </w:r>
      <w:r w:rsidR="00942824" w:rsidRPr="00942824">
        <w:rPr>
          <w:rFonts w:ascii="Times New Roman" w:hAnsi="Times New Roman" w:cs="Times New Roman"/>
          <w:sz w:val="24"/>
          <w:szCs w:val="24"/>
        </w:rPr>
        <w:t xml:space="preserve">, και στο δεύτερο </w:t>
      </w:r>
      <w:r w:rsidR="00942824" w:rsidRPr="00942824">
        <w:rPr>
          <w:rFonts w:ascii="Times New Roman" w:hAnsi="Times New Roman" w:cs="Times New Roman"/>
          <w:sz w:val="24"/>
          <w:szCs w:val="24"/>
          <w:lang w:val="en-US"/>
        </w:rPr>
        <w:t>panel</w:t>
      </w:r>
      <w:r w:rsidR="00942824" w:rsidRPr="00942824">
        <w:rPr>
          <w:rFonts w:ascii="Times New Roman" w:hAnsi="Times New Roman" w:cs="Times New Roman"/>
          <w:sz w:val="24"/>
          <w:szCs w:val="24"/>
        </w:rPr>
        <w:t xml:space="preserve"> (ενδοκυττάριο </w:t>
      </w:r>
      <w:r w:rsidR="00942824" w:rsidRPr="00942824">
        <w:rPr>
          <w:rFonts w:ascii="Times New Roman" w:hAnsi="Times New Roman" w:cs="Times New Roman"/>
          <w:sz w:val="24"/>
          <w:szCs w:val="24"/>
          <w:lang w:val="en-US"/>
        </w:rPr>
        <w:t>panel</w:t>
      </w:r>
      <w:r w:rsidR="00942824" w:rsidRPr="00942824">
        <w:rPr>
          <w:rFonts w:ascii="Times New Roman" w:hAnsi="Times New Roman" w:cs="Times New Roman"/>
          <w:sz w:val="24"/>
          <w:szCs w:val="24"/>
        </w:rPr>
        <w:t xml:space="preserve">) αντισώματα για τη σήμανση των </w:t>
      </w:r>
      <w:r w:rsidR="00942824" w:rsidRPr="00942824">
        <w:rPr>
          <w:rFonts w:ascii="Times New Roman" w:hAnsi="Times New Roman" w:cs="Times New Roman"/>
          <w:sz w:val="24"/>
          <w:szCs w:val="24"/>
        </w:rPr>
        <w:lastRenderedPageBreak/>
        <w:t>ενδοκυττάριων κάππα (</w:t>
      </w:r>
      <w:r w:rsidR="00942824" w:rsidRPr="00942824">
        <w:rPr>
          <w:rFonts w:ascii="Times New Roman" w:hAnsi="Times New Roman" w:cs="Times New Roman"/>
          <w:sz w:val="24"/>
          <w:szCs w:val="24"/>
          <w:lang w:val="en-US"/>
        </w:rPr>
        <w:t>kappa</w:t>
      </w:r>
      <w:r w:rsidR="00942824" w:rsidRPr="00942824">
        <w:rPr>
          <w:rFonts w:ascii="Times New Roman" w:hAnsi="Times New Roman" w:cs="Times New Roman"/>
          <w:sz w:val="24"/>
          <w:szCs w:val="24"/>
        </w:rPr>
        <w:t>-</w:t>
      </w:r>
      <w:r w:rsidR="00942824" w:rsidRPr="00942824">
        <w:rPr>
          <w:rFonts w:ascii="Times New Roman" w:hAnsi="Times New Roman" w:cs="Times New Roman"/>
          <w:sz w:val="24"/>
          <w:szCs w:val="24"/>
          <w:lang w:val="en-US"/>
        </w:rPr>
        <w:t>APC</w:t>
      </w:r>
      <w:r w:rsidR="00942824" w:rsidRPr="00942824">
        <w:rPr>
          <w:rFonts w:ascii="Times New Roman" w:hAnsi="Times New Roman" w:cs="Times New Roman"/>
          <w:sz w:val="24"/>
          <w:szCs w:val="24"/>
        </w:rPr>
        <w:t>) και λάμδα (</w:t>
      </w:r>
      <w:r w:rsidR="00942824" w:rsidRPr="00942824">
        <w:rPr>
          <w:rFonts w:ascii="Times New Roman" w:hAnsi="Times New Roman" w:cs="Times New Roman"/>
          <w:sz w:val="24"/>
          <w:szCs w:val="24"/>
          <w:lang w:val="en-US"/>
        </w:rPr>
        <w:t>lambda</w:t>
      </w:r>
      <w:r w:rsidR="00942824" w:rsidRPr="00942824">
        <w:rPr>
          <w:rFonts w:ascii="Times New Roman" w:hAnsi="Times New Roman" w:cs="Times New Roman"/>
          <w:sz w:val="24"/>
          <w:szCs w:val="24"/>
        </w:rPr>
        <w:t>-</w:t>
      </w:r>
      <w:r w:rsidR="00942824" w:rsidRPr="00942824">
        <w:rPr>
          <w:rFonts w:ascii="Times New Roman" w:hAnsi="Times New Roman" w:cs="Times New Roman"/>
          <w:sz w:val="24"/>
          <w:szCs w:val="24"/>
          <w:lang w:val="en-US"/>
        </w:rPr>
        <w:t>APCC</w:t>
      </w:r>
      <w:r w:rsidR="00942824" w:rsidRPr="00942824">
        <w:rPr>
          <w:rFonts w:ascii="Times New Roman" w:hAnsi="Times New Roman" w:cs="Times New Roman"/>
          <w:sz w:val="24"/>
          <w:szCs w:val="24"/>
        </w:rPr>
        <w:t xml:space="preserve">750) ελαφριών αλυσίδων.  </w:t>
      </w:r>
    </w:p>
    <w:p w:rsidR="00436F48" w:rsidRDefault="00942824" w:rsidP="00A06DAD">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Επώαση για 30 λεπτά στους 25</w:t>
      </w:r>
      <w:r w:rsidRPr="00942824">
        <w:rPr>
          <w:rFonts w:ascii="Times New Roman" w:hAnsi="Times New Roman" w:cs="Times New Roman"/>
          <w:sz w:val="24"/>
          <w:szCs w:val="24"/>
          <w:vertAlign w:val="superscript"/>
        </w:rPr>
        <w:t>ο</w:t>
      </w:r>
      <w:r>
        <w:rPr>
          <w:rFonts w:ascii="Times New Roman" w:hAnsi="Times New Roman" w:cs="Times New Roman"/>
          <w:sz w:val="24"/>
          <w:szCs w:val="24"/>
          <w:lang w:val="en-US"/>
        </w:rPr>
        <w:t>C</w:t>
      </w:r>
      <w:r w:rsidRPr="00942824">
        <w:rPr>
          <w:rFonts w:ascii="Times New Roman" w:hAnsi="Times New Roman" w:cs="Times New Roman"/>
          <w:sz w:val="24"/>
          <w:szCs w:val="24"/>
        </w:rPr>
        <w:t xml:space="preserve"> </w:t>
      </w:r>
      <w:r>
        <w:rPr>
          <w:rFonts w:ascii="Times New Roman" w:hAnsi="Times New Roman" w:cs="Times New Roman"/>
          <w:sz w:val="24"/>
          <w:szCs w:val="24"/>
        </w:rPr>
        <w:t>σε συνθήκες σκότους</w:t>
      </w:r>
    </w:p>
    <w:p w:rsidR="006D0ADF" w:rsidRDefault="006D0ADF" w:rsidP="006D0ADF">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Προσθήκη 2</w:t>
      </w:r>
      <w:r>
        <w:rPr>
          <w:rFonts w:ascii="Times New Roman" w:hAnsi="Times New Roman" w:cs="Times New Roman"/>
          <w:sz w:val="24"/>
          <w:szCs w:val="24"/>
          <w:lang w:val="en-US"/>
        </w:rPr>
        <w:t>ml</w:t>
      </w:r>
      <w:r w:rsidRPr="006D0ADF">
        <w:rPr>
          <w:rFonts w:ascii="Times New Roman" w:hAnsi="Times New Roman" w:cs="Times New Roman"/>
          <w:sz w:val="24"/>
          <w:szCs w:val="24"/>
        </w:rPr>
        <w:t xml:space="preserve"> </w:t>
      </w:r>
      <w:r>
        <w:rPr>
          <w:rFonts w:ascii="Times New Roman" w:hAnsi="Times New Roman" w:cs="Times New Roman"/>
          <w:sz w:val="24"/>
          <w:szCs w:val="24"/>
        </w:rPr>
        <w:t>του μονιμοποιητικού Διαλύ</w:t>
      </w:r>
      <w:r w:rsidR="00942824">
        <w:rPr>
          <w:rFonts w:ascii="Times New Roman" w:hAnsi="Times New Roman" w:cs="Times New Roman"/>
          <w:sz w:val="24"/>
          <w:szCs w:val="24"/>
        </w:rPr>
        <w:t>μα</w:t>
      </w:r>
      <w:r w:rsidR="00041C36">
        <w:rPr>
          <w:rFonts w:ascii="Times New Roman" w:hAnsi="Times New Roman" w:cs="Times New Roman"/>
          <w:sz w:val="24"/>
          <w:szCs w:val="24"/>
        </w:rPr>
        <w:t>τος</w:t>
      </w:r>
      <w:r w:rsidRPr="006D0ADF">
        <w:rPr>
          <w:rFonts w:ascii="Times New Roman" w:hAnsi="Times New Roman" w:cs="Times New Roman"/>
          <w:sz w:val="24"/>
          <w:szCs w:val="24"/>
        </w:rPr>
        <w:t xml:space="preserve"> </w:t>
      </w:r>
      <w:r>
        <w:rPr>
          <w:rFonts w:ascii="Times New Roman" w:hAnsi="Times New Roman" w:cs="Times New Roman"/>
          <w:sz w:val="24"/>
          <w:szCs w:val="24"/>
          <w:lang w:val="en-US"/>
        </w:rPr>
        <w:t>BD</w:t>
      </w:r>
      <w:r w:rsidRPr="006D0ADF">
        <w:rPr>
          <w:rFonts w:ascii="Times New Roman" w:hAnsi="Times New Roman" w:cs="Times New Roman"/>
          <w:sz w:val="24"/>
          <w:szCs w:val="24"/>
        </w:rPr>
        <w:t xml:space="preserve"> </w:t>
      </w:r>
      <w:r>
        <w:rPr>
          <w:rFonts w:ascii="Times New Roman" w:hAnsi="Times New Roman" w:cs="Times New Roman"/>
          <w:sz w:val="24"/>
          <w:szCs w:val="24"/>
          <w:lang w:val="en-US"/>
        </w:rPr>
        <w:t>FACS</w:t>
      </w:r>
      <w:r w:rsidRPr="006D0ADF">
        <w:rPr>
          <w:rFonts w:ascii="Times New Roman" w:hAnsi="Times New Roman" w:cs="Times New Roman"/>
          <w:sz w:val="24"/>
          <w:szCs w:val="24"/>
        </w:rPr>
        <w:t xml:space="preserve"> </w:t>
      </w:r>
      <w:r>
        <w:rPr>
          <w:rFonts w:ascii="Times New Roman" w:hAnsi="Times New Roman" w:cs="Times New Roman"/>
          <w:sz w:val="24"/>
          <w:szCs w:val="24"/>
          <w:lang w:val="en-US"/>
        </w:rPr>
        <w:t>Lysing</w:t>
      </w:r>
      <w:r w:rsidRPr="006D0ADF">
        <w:rPr>
          <w:rFonts w:ascii="Times New Roman" w:hAnsi="Times New Roman" w:cs="Times New Roman"/>
          <w:sz w:val="24"/>
          <w:szCs w:val="24"/>
        </w:rPr>
        <w:t xml:space="preserve"> </w:t>
      </w:r>
      <w:r>
        <w:rPr>
          <w:rFonts w:ascii="Times New Roman" w:hAnsi="Times New Roman" w:cs="Times New Roman"/>
          <w:sz w:val="24"/>
          <w:szCs w:val="24"/>
          <w:lang w:val="en-US"/>
        </w:rPr>
        <w:t>Solution</w:t>
      </w:r>
      <w:r w:rsidRPr="006D0ADF">
        <w:rPr>
          <w:rFonts w:ascii="Times New Roman" w:hAnsi="Times New Roman" w:cs="Times New Roman"/>
          <w:sz w:val="24"/>
          <w:szCs w:val="24"/>
        </w:rPr>
        <w:t xml:space="preserve">. </w:t>
      </w:r>
      <w:r>
        <w:rPr>
          <w:rFonts w:ascii="Times New Roman" w:hAnsi="Times New Roman" w:cs="Times New Roman"/>
          <w:sz w:val="24"/>
          <w:szCs w:val="24"/>
        </w:rPr>
        <w:t xml:space="preserve">Επώαση για 15 λεπτά σε συνθήκες σκότους. </w:t>
      </w:r>
    </w:p>
    <w:p w:rsidR="006D0ADF" w:rsidRPr="006D0ADF" w:rsidRDefault="006D0ADF" w:rsidP="006D0ADF">
      <w:pPr>
        <w:pStyle w:val="a6"/>
        <w:numPr>
          <w:ilvl w:val="0"/>
          <w:numId w:val="1"/>
        </w:numPr>
        <w:spacing w:line="360" w:lineRule="auto"/>
        <w:rPr>
          <w:rFonts w:ascii="Times New Roman" w:hAnsi="Times New Roman" w:cs="Times New Roman"/>
          <w:sz w:val="24"/>
          <w:szCs w:val="24"/>
        </w:rPr>
      </w:pPr>
      <w:r w:rsidRPr="006D0ADF">
        <w:rPr>
          <w:rFonts w:ascii="Times New Roman" w:hAnsi="Times New Roman" w:cs="Times New Roman"/>
          <w:sz w:val="24"/>
          <w:szCs w:val="24"/>
        </w:rPr>
        <w:t xml:space="preserve">Φυγοκέντρηση στις 1500rpm για 5 λεπτά σε 25 </w:t>
      </w:r>
      <w:r w:rsidRPr="006D0ADF">
        <w:rPr>
          <w:rFonts w:ascii="Times New Roman" w:hAnsi="Times New Roman" w:cs="Times New Roman"/>
          <w:sz w:val="24"/>
          <w:szCs w:val="24"/>
          <w:vertAlign w:val="superscript"/>
        </w:rPr>
        <w:t>o</w:t>
      </w:r>
      <w:r w:rsidRPr="006D0ADF">
        <w:rPr>
          <w:rFonts w:ascii="Times New Roman" w:hAnsi="Times New Roman" w:cs="Times New Roman"/>
          <w:sz w:val="24"/>
          <w:szCs w:val="24"/>
        </w:rPr>
        <w:t>C.</w:t>
      </w:r>
    </w:p>
    <w:p w:rsidR="006D0ADF" w:rsidRPr="006D0ADF" w:rsidRDefault="006D0ADF" w:rsidP="006D0ADF">
      <w:pPr>
        <w:pStyle w:val="a6"/>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Επαναιώρηση των κυττάρων σε 2</w:t>
      </w:r>
      <w:r>
        <w:rPr>
          <w:rFonts w:ascii="Times New Roman" w:hAnsi="Times New Roman" w:cs="Times New Roman"/>
          <w:sz w:val="24"/>
          <w:szCs w:val="24"/>
          <w:lang w:val="en-US"/>
        </w:rPr>
        <w:t>ml</w:t>
      </w:r>
      <w:r w:rsidRPr="006D0ADF">
        <w:rPr>
          <w:rFonts w:ascii="Times New Roman" w:hAnsi="Times New Roman" w:cs="Times New Roman"/>
          <w:sz w:val="24"/>
          <w:szCs w:val="24"/>
        </w:rPr>
        <w:t xml:space="preserve"> </w:t>
      </w:r>
      <w:r>
        <w:rPr>
          <w:rFonts w:ascii="Times New Roman" w:hAnsi="Times New Roman" w:cs="Times New Roman"/>
          <w:sz w:val="24"/>
          <w:szCs w:val="24"/>
        </w:rPr>
        <w:t xml:space="preserve">Διαλύματος 1, και φυγοκέντρηση στις  </w:t>
      </w:r>
      <w:r w:rsidRPr="006D0ADF">
        <w:rPr>
          <w:rFonts w:ascii="Times New Roman" w:hAnsi="Times New Roman" w:cs="Times New Roman"/>
          <w:sz w:val="24"/>
          <w:szCs w:val="24"/>
        </w:rPr>
        <w:t xml:space="preserve">1500rpm για 5 λεπτά σε 25 </w:t>
      </w:r>
      <w:r w:rsidRPr="006D0ADF">
        <w:rPr>
          <w:rFonts w:ascii="Times New Roman" w:hAnsi="Times New Roman" w:cs="Times New Roman"/>
          <w:sz w:val="24"/>
          <w:szCs w:val="24"/>
          <w:vertAlign w:val="superscript"/>
        </w:rPr>
        <w:t>o</w:t>
      </w:r>
      <w:r w:rsidRPr="006D0ADF">
        <w:rPr>
          <w:rFonts w:ascii="Times New Roman" w:hAnsi="Times New Roman" w:cs="Times New Roman"/>
          <w:sz w:val="24"/>
          <w:szCs w:val="24"/>
        </w:rPr>
        <w:t>C.</w:t>
      </w:r>
    </w:p>
    <w:p w:rsidR="00942824" w:rsidRDefault="006D0ADF" w:rsidP="00A06DAD">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Επαναιώρηση κυττάρων σε 500μ</w:t>
      </w:r>
      <w:r>
        <w:rPr>
          <w:rFonts w:ascii="Times New Roman" w:hAnsi="Times New Roman" w:cs="Times New Roman"/>
          <w:sz w:val="24"/>
          <w:szCs w:val="24"/>
          <w:lang w:val="en-US"/>
        </w:rPr>
        <w:t>l</w:t>
      </w:r>
      <w:r w:rsidRPr="006D0ADF">
        <w:rPr>
          <w:rFonts w:ascii="Times New Roman" w:hAnsi="Times New Roman" w:cs="Times New Roman"/>
          <w:sz w:val="24"/>
          <w:szCs w:val="24"/>
        </w:rPr>
        <w:t xml:space="preserve"> </w:t>
      </w:r>
      <w:r>
        <w:rPr>
          <w:rFonts w:ascii="Times New Roman" w:hAnsi="Times New Roman" w:cs="Times New Roman"/>
          <w:sz w:val="24"/>
          <w:szCs w:val="24"/>
        </w:rPr>
        <w:t>Διαλύματος 1 και καταγραφή</w:t>
      </w:r>
      <w:r w:rsidR="00CD6F9A">
        <w:rPr>
          <w:rFonts w:ascii="Times New Roman" w:hAnsi="Times New Roman" w:cs="Times New Roman"/>
          <w:sz w:val="24"/>
          <w:szCs w:val="24"/>
        </w:rPr>
        <w:t xml:space="preserve"> τουλάχιστον 5</w:t>
      </w:r>
      <w:r w:rsidR="00CD6F9A">
        <w:rPr>
          <w:rFonts w:ascii="Times New Roman" w:hAnsi="Times New Roman" w:cs="Times New Roman"/>
          <w:sz w:val="24"/>
          <w:szCs w:val="24"/>
          <w:lang w:val="en-US"/>
        </w:rPr>
        <w:t>x</w:t>
      </w:r>
      <w:r w:rsidR="00CD6F9A" w:rsidRPr="00CD6F9A">
        <w:rPr>
          <w:rFonts w:ascii="Times New Roman" w:hAnsi="Times New Roman" w:cs="Times New Roman"/>
          <w:sz w:val="24"/>
          <w:szCs w:val="24"/>
        </w:rPr>
        <w:t>10</w:t>
      </w:r>
      <w:r w:rsidR="00CD6F9A" w:rsidRPr="00CD6F9A">
        <w:rPr>
          <w:rFonts w:ascii="Times New Roman" w:hAnsi="Times New Roman" w:cs="Times New Roman"/>
          <w:sz w:val="24"/>
          <w:szCs w:val="24"/>
          <w:vertAlign w:val="superscript"/>
        </w:rPr>
        <w:t>6</w:t>
      </w:r>
      <w:r>
        <w:rPr>
          <w:rFonts w:ascii="Times New Roman" w:hAnsi="Times New Roman" w:cs="Times New Roman"/>
          <w:sz w:val="24"/>
          <w:szCs w:val="24"/>
        </w:rPr>
        <w:t xml:space="preserve"> δεδομένων </w:t>
      </w:r>
      <w:r w:rsidR="00CD6F9A">
        <w:rPr>
          <w:rFonts w:ascii="Times New Roman" w:hAnsi="Times New Roman" w:cs="Times New Roman"/>
          <w:sz w:val="24"/>
          <w:szCs w:val="24"/>
        </w:rPr>
        <w:t xml:space="preserve">από κάθε </w:t>
      </w:r>
      <w:r w:rsidR="00CD6F9A">
        <w:rPr>
          <w:rFonts w:ascii="Times New Roman" w:hAnsi="Times New Roman" w:cs="Times New Roman"/>
          <w:sz w:val="24"/>
          <w:szCs w:val="24"/>
          <w:lang w:val="en-US"/>
        </w:rPr>
        <w:t>panel</w:t>
      </w:r>
      <w:r w:rsidR="00CD6F9A" w:rsidRPr="00CD6F9A">
        <w:rPr>
          <w:rFonts w:ascii="Times New Roman" w:hAnsi="Times New Roman" w:cs="Times New Roman"/>
          <w:sz w:val="24"/>
          <w:szCs w:val="24"/>
        </w:rPr>
        <w:t xml:space="preserve"> </w:t>
      </w:r>
      <w:r>
        <w:rPr>
          <w:rFonts w:ascii="Times New Roman" w:hAnsi="Times New Roman" w:cs="Times New Roman"/>
          <w:sz w:val="24"/>
          <w:szCs w:val="24"/>
        </w:rPr>
        <w:t>στο κυτταρόμετρο</w:t>
      </w:r>
      <w:r w:rsidR="003A0707">
        <w:rPr>
          <w:rFonts w:ascii="Times New Roman" w:hAnsi="Times New Roman" w:cs="Times New Roman"/>
          <w:sz w:val="24"/>
          <w:szCs w:val="24"/>
        </w:rPr>
        <w:t xml:space="preserve"> (</w:t>
      </w:r>
      <w:r w:rsidR="003A0707">
        <w:rPr>
          <w:rFonts w:ascii="Times New Roman" w:hAnsi="Times New Roman" w:cs="Times New Roman"/>
          <w:sz w:val="24"/>
          <w:szCs w:val="24"/>
          <w:lang w:val="en-US"/>
        </w:rPr>
        <w:t>BD</w:t>
      </w:r>
      <w:r w:rsidR="003A0707" w:rsidRPr="003A0707">
        <w:rPr>
          <w:rFonts w:ascii="Times New Roman" w:hAnsi="Times New Roman" w:cs="Times New Roman"/>
          <w:sz w:val="24"/>
          <w:szCs w:val="24"/>
        </w:rPr>
        <w:t xml:space="preserve"> </w:t>
      </w:r>
      <w:r w:rsidR="003A0707">
        <w:rPr>
          <w:rFonts w:ascii="Times New Roman" w:hAnsi="Times New Roman" w:cs="Times New Roman"/>
          <w:sz w:val="24"/>
          <w:szCs w:val="24"/>
          <w:lang w:val="en-US"/>
        </w:rPr>
        <w:t>FACS</w:t>
      </w:r>
      <w:r w:rsidR="003A0707" w:rsidRPr="003A0707">
        <w:rPr>
          <w:rFonts w:ascii="Times New Roman" w:hAnsi="Times New Roman" w:cs="Times New Roman"/>
          <w:sz w:val="24"/>
          <w:szCs w:val="24"/>
        </w:rPr>
        <w:t xml:space="preserve"> </w:t>
      </w:r>
      <w:r w:rsidR="003A0707">
        <w:rPr>
          <w:rFonts w:ascii="Times New Roman" w:hAnsi="Times New Roman" w:cs="Times New Roman"/>
          <w:sz w:val="24"/>
          <w:szCs w:val="24"/>
          <w:lang w:val="en-US"/>
        </w:rPr>
        <w:t>Canto</w:t>
      </w:r>
      <w:r w:rsidR="003A0707" w:rsidRPr="003A0707">
        <w:rPr>
          <w:rFonts w:ascii="Times New Roman" w:hAnsi="Times New Roman" w:cs="Times New Roman"/>
          <w:sz w:val="24"/>
          <w:szCs w:val="24"/>
        </w:rPr>
        <w:t xml:space="preserve"> </w:t>
      </w:r>
      <w:r w:rsidR="003A0707">
        <w:rPr>
          <w:rFonts w:ascii="Times New Roman" w:hAnsi="Times New Roman" w:cs="Times New Roman"/>
          <w:sz w:val="24"/>
          <w:szCs w:val="24"/>
          <w:lang w:val="en-US"/>
        </w:rPr>
        <w:t>II</w:t>
      </w:r>
      <w:r w:rsidR="003A0707">
        <w:rPr>
          <w:rFonts w:ascii="Times New Roman" w:hAnsi="Times New Roman" w:cs="Times New Roman"/>
          <w:sz w:val="24"/>
          <w:szCs w:val="24"/>
        </w:rPr>
        <w:t xml:space="preserve"> κλινικό κυτταρόμετρο</w:t>
      </w:r>
      <w:r w:rsidR="003A0707" w:rsidRPr="003A0707">
        <w:rPr>
          <w:rFonts w:ascii="Times New Roman" w:hAnsi="Times New Roman" w:cs="Times New Roman"/>
          <w:sz w:val="24"/>
          <w:szCs w:val="24"/>
        </w:rPr>
        <w:t xml:space="preserve"> 3</w:t>
      </w:r>
      <w:r w:rsidR="003A0707">
        <w:rPr>
          <w:rFonts w:ascii="Times New Roman" w:hAnsi="Times New Roman" w:cs="Times New Roman"/>
          <w:sz w:val="24"/>
          <w:szCs w:val="24"/>
        </w:rPr>
        <w:t xml:space="preserve"> λέιζερ)</w:t>
      </w:r>
      <w:r w:rsidR="00CD6F9A">
        <w:rPr>
          <w:rFonts w:ascii="Times New Roman" w:hAnsi="Times New Roman" w:cs="Times New Roman"/>
          <w:sz w:val="24"/>
          <w:szCs w:val="24"/>
        </w:rPr>
        <w:t xml:space="preserve"> ύστερα από τη κατάλληλη ρύθμιση των παραμέτρων του μηχανήματος. </w:t>
      </w:r>
    </w:p>
    <w:p w:rsidR="00CD6F9A" w:rsidRDefault="00CD6F9A" w:rsidP="00CD6F9A">
      <w:pPr>
        <w:pStyle w:val="a6"/>
        <w:spacing w:after="0" w:line="360" w:lineRule="auto"/>
        <w:jc w:val="both"/>
        <w:rPr>
          <w:rFonts w:ascii="Times New Roman" w:hAnsi="Times New Roman" w:cs="Times New Roman"/>
          <w:sz w:val="24"/>
          <w:szCs w:val="24"/>
        </w:rPr>
      </w:pPr>
    </w:p>
    <w:p w:rsidR="004F3A63" w:rsidRDefault="00CD6F9A" w:rsidP="00F53AB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Η επιλογή των κατάλληλων ρυθμίσεων του κυτταρομέτρου αφορούσε στον προσδιορισμό των </w:t>
      </w:r>
      <w:r w:rsidR="003A0707">
        <w:rPr>
          <w:rFonts w:ascii="Times New Roman" w:hAnsi="Times New Roman" w:cs="Times New Roman"/>
          <w:sz w:val="24"/>
          <w:szCs w:val="24"/>
        </w:rPr>
        <w:t xml:space="preserve">βέλτιστων </w:t>
      </w:r>
      <w:r>
        <w:rPr>
          <w:rFonts w:ascii="Times New Roman" w:hAnsi="Times New Roman" w:cs="Times New Roman"/>
          <w:sz w:val="24"/>
          <w:szCs w:val="24"/>
        </w:rPr>
        <w:t>τάσ</w:t>
      </w:r>
      <w:r w:rsidR="003A0707">
        <w:rPr>
          <w:rFonts w:ascii="Times New Roman" w:hAnsi="Times New Roman" w:cs="Times New Roman"/>
          <w:sz w:val="24"/>
          <w:szCs w:val="24"/>
        </w:rPr>
        <w:t xml:space="preserve">εων των φωτοπολλαπλασιαστών για την ανίχνευση του σήματος και ο </w:t>
      </w:r>
      <w:r w:rsidR="003A0707" w:rsidRPr="00A06DAD">
        <w:rPr>
          <w:rFonts w:ascii="Times New Roman" w:hAnsi="Times New Roman" w:cs="Times New Roman"/>
          <w:sz w:val="24"/>
          <w:szCs w:val="24"/>
        </w:rPr>
        <w:t>υπολογισμός της αντιστάθμισης των φθοριοχρωμάτων</w:t>
      </w:r>
      <w:r w:rsidR="003A0707">
        <w:rPr>
          <w:rFonts w:ascii="Times New Roman" w:hAnsi="Times New Roman" w:cs="Times New Roman"/>
          <w:sz w:val="24"/>
          <w:szCs w:val="24"/>
        </w:rPr>
        <w:t xml:space="preserve">, ώστε το σήμα που λαμβάνεται από κάθε ανιχνευτή του κυτταρομέτρου να προέρχεται από το φάσμα εκπομπής της ειδικής για αυτόν φθορίζουσας ουσίας. Έτσι, ο προσδιορισμός των βέλτιστων τάσεων </w:t>
      </w:r>
      <w:r w:rsidRPr="00A06DAD">
        <w:rPr>
          <w:rFonts w:ascii="Times New Roman" w:hAnsi="Times New Roman" w:cs="Times New Roman"/>
          <w:sz w:val="24"/>
          <w:szCs w:val="24"/>
        </w:rPr>
        <w:t>των φωτοπολλαπλασιαστών</w:t>
      </w:r>
      <w:r w:rsidR="003A0707">
        <w:rPr>
          <w:rFonts w:ascii="Times New Roman" w:hAnsi="Times New Roman" w:cs="Times New Roman"/>
          <w:sz w:val="24"/>
          <w:szCs w:val="24"/>
        </w:rPr>
        <w:t xml:space="preserve"> πραγματοποιήθηκε με τ</w:t>
      </w:r>
      <w:r w:rsidRPr="00A06DAD">
        <w:rPr>
          <w:rFonts w:ascii="Times New Roman" w:hAnsi="Times New Roman" w:cs="Times New Roman"/>
          <w:sz w:val="24"/>
          <w:szCs w:val="24"/>
        </w:rPr>
        <w:t>η χρήση ειδικών σφαιριδίων (</w:t>
      </w:r>
      <w:r w:rsidRPr="00A06DAD">
        <w:rPr>
          <w:rFonts w:ascii="Times New Roman" w:hAnsi="Times New Roman" w:cs="Times New Roman"/>
          <w:sz w:val="24"/>
          <w:szCs w:val="24"/>
          <w:lang w:val="en-US"/>
        </w:rPr>
        <w:t>Rainbow</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beads</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Spherotech</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Inc</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Lake</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Forest</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IL</w:t>
      </w:r>
      <w:r w:rsidRPr="00A06DAD">
        <w:rPr>
          <w:rFonts w:ascii="Times New Roman" w:hAnsi="Times New Roman" w:cs="Times New Roman"/>
          <w:sz w:val="24"/>
          <w:szCs w:val="24"/>
        </w:rPr>
        <w:t xml:space="preserve">) σύμφωνα με τις οδηγίες του </w:t>
      </w:r>
      <w:r w:rsidRPr="00A06DAD">
        <w:rPr>
          <w:rFonts w:ascii="Times New Roman" w:hAnsi="Times New Roman" w:cs="Times New Roman"/>
          <w:sz w:val="24"/>
          <w:szCs w:val="24"/>
          <w:lang w:val="en-US"/>
        </w:rPr>
        <w:t>Euroflow</w:t>
      </w:r>
      <w:r w:rsidRPr="00A06DAD">
        <w:rPr>
          <w:rFonts w:ascii="Times New Roman" w:hAnsi="Times New Roman" w:cs="Times New Roman"/>
          <w:sz w:val="24"/>
          <w:szCs w:val="24"/>
        </w:rPr>
        <w:t xml:space="preserve"> για τη χρήση των συγκεκριμένων συνδυασμών αντισωμάτων-φθοριζουσών ουσιών που αναφέρθηκαν παραπάνω. </w:t>
      </w:r>
      <w:r w:rsidR="003A0707">
        <w:rPr>
          <w:rFonts w:ascii="Times New Roman" w:hAnsi="Times New Roman" w:cs="Times New Roman"/>
          <w:sz w:val="24"/>
          <w:szCs w:val="24"/>
        </w:rPr>
        <w:t xml:space="preserve">Η αντιστάθμιση των φθοριοχρωμάτων πραγματοποιήθηκε με τη βοήθεια των σφαιριδίων </w:t>
      </w:r>
      <w:r w:rsidR="003A0707">
        <w:rPr>
          <w:rFonts w:ascii="Times New Roman" w:hAnsi="Times New Roman" w:cs="Times New Roman"/>
          <w:sz w:val="24"/>
          <w:szCs w:val="24"/>
          <w:lang w:val="en-US"/>
        </w:rPr>
        <w:t>BD</w:t>
      </w:r>
      <w:r w:rsidR="003A0707" w:rsidRPr="003A0707">
        <w:rPr>
          <w:rFonts w:ascii="Times New Roman" w:hAnsi="Times New Roman" w:cs="Times New Roman"/>
          <w:sz w:val="24"/>
          <w:szCs w:val="24"/>
        </w:rPr>
        <w:t xml:space="preserve"> </w:t>
      </w:r>
      <w:r w:rsidR="003A0707">
        <w:rPr>
          <w:rFonts w:ascii="Times New Roman" w:hAnsi="Times New Roman" w:cs="Times New Roman"/>
          <w:sz w:val="24"/>
          <w:szCs w:val="24"/>
          <w:lang w:val="en-US"/>
        </w:rPr>
        <w:t>CompBeads</w:t>
      </w:r>
      <w:r w:rsidR="003A0707" w:rsidRPr="003A0707">
        <w:rPr>
          <w:rFonts w:ascii="Times New Roman" w:hAnsi="Times New Roman" w:cs="Times New Roman"/>
          <w:sz w:val="24"/>
          <w:szCs w:val="24"/>
        </w:rPr>
        <w:t xml:space="preserve"> </w:t>
      </w:r>
      <w:r w:rsidR="00F53ABC">
        <w:rPr>
          <w:rFonts w:ascii="Times New Roman" w:hAnsi="Times New Roman" w:cs="Times New Roman"/>
          <w:sz w:val="24"/>
          <w:szCs w:val="24"/>
        </w:rPr>
        <w:t xml:space="preserve">και αφού είχε προηγηθεί η επιλογή των κατάλληλων τάσεων στους φωτοπολλαπλασιαστές. </w:t>
      </w:r>
      <w:r w:rsidRPr="00A06DAD">
        <w:rPr>
          <w:rFonts w:ascii="Times New Roman" w:hAnsi="Times New Roman" w:cs="Times New Roman"/>
          <w:sz w:val="24"/>
          <w:szCs w:val="24"/>
        </w:rPr>
        <w:t xml:space="preserve">Η κατάσταση απόδοσης του οργάνου ελεγχόταν σε καθημερινή βάση με τη χρήση των σφαιριδίων </w:t>
      </w:r>
      <w:r w:rsidRPr="00A06DAD">
        <w:rPr>
          <w:rFonts w:ascii="Times New Roman" w:hAnsi="Times New Roman" w:cs="Times New Roman"/>
          <w:sz w:val="24"/>
          <w:szCs w:val="24"/>
          <w:lang w:val="en-US"/>
        </w:rPr>
        <w:t>Rainbow</w:t>
      </w:r>
      <w:r w:rsidRPr="00A06DAD">
        <w:rPr>
          <w:rFonts w:ascii="Times New Roman" w:hAnsi="Times New Roman" w:cs="Times New Roman"/>
          <w:sz w:val="24"/>
          <w:szCs w:val="24"/>
        </w:rPr>
        <w:t xml:space="preserve"> και των σφαιριδίων </w:t>
      </w:r>
      <w:r w:rsidRPr="00A06DAD">
        <w:rPr>
          <w:rFonts w:ascii="Times New Roman" w:hAnsi="Times New Roman" w:cs="Times New Roman"/>
          <w:sz w:val="24"/>
          <w:szCs w:val="24"/>
          <w:lang w:val="en-US"/>
        </w:rPr>
        <w:t>CS</w:t>
      </w:r>
      <w:r w:rsidRPr="00A06DAD">
        <w:rPr>
          <w:rFonts w:ascii="Times New Roman" w:hAnsi="Times New Roman" w:cs="Times New Roman"/>
          <w:sz w:val="24"/>
          <w:szCs w:val="24"/>
        </w:rPr>
        <w:t xml:space="preserve"> &amp; </w:t>
      </w:r>
      <w:r w:rsidRPr="00A06DAD">
        <w:rPr>
          <w:rFonts w:ascii="Times New Roman" w:hAnsi="Times New Roman" w:cs="Times New Roman"/>
          <w:sz w:val="24"/>
          <w:szCs w:val="24"/>
          <w:lang w:val="en-US"/>
        </w:rPr>
        <w:t>T</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BD</w:t>
      </w:r>
      <w:r w:rsidRPr="00A06DAD">
        <w:rPr>
          <w:rFonts w:ascii="Times New Roman" w:hAnsi="Times New Roman" w:cs="Times New Roman"/>
          <w:sz w:val="24"/>
          <w:szCs w:val="24"/>
        </w:rPr>
        <w:t>).</w:t>
      </w:r>
      <w:r w:rsidR="004F3A63" w:rsidRPr="004F3A63">
        <w:rPr>
          <w:rFonts w:ascii="Times New Roman" w:hAnsi="Times New Roman" w:cs="Times New Roman"/>
          <w:sz w:val="24"/>
          <w:szCs w:val="24"/>
        </w:rPr>
        <w:t xml:space="preserve"> </w:t>
      </w:r>
    </w:p>
    <w:p w:rsidR="00F21743" w:rsidRPr="001C3891" w:rsidRDefault="004F3A63" w:rsidP="00F53AB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Για την ανάλυση </w:t>
      </w:r>
      <w:r w:rsidRPr="00A06DAD">
        <w:rPr>
          <w:rFonts w:ascii="Times New Roman" w:hAnsi="Times New Roman" w:cs="Times New Roman"/>
          <w:sz w:val="24"/>
          <w:szCs w:val="24"/>
        </w:rPr>
        <w:t xml:space="preserve">των δεδομένων </w:t>
      </w:r>
      <w:r>
        <w:rPr>
          <w:rFonts w:ascii="Times New Roman" w:hAnsi="Times New Roman" w:cs="Times New Roman"/>
          <w:sz w:val="24"/>
          <w:szCs w:val="24"/>
        </w:rPr>
        <w:t>χρησιμοπο</w:t>
      </w:r>
      <w:r w:rsidR="00F70362">
        <w:rPr>
          <w:rFonts w:ascii="Times New Roman" w:hAnsi="Times New Roman" w:cs="Times New Roman"/>
          <w:sz w:val="24"/>
          <w:szCs w:val="24"/>
        </w:rPr>
        <w:t>ιήθηκε τ</w:t>
      </w:r>
      <w:r w:rsidRPr="00A06DAD">
        <w:rPr>
          <w:rFonts w:ascii="Times New Roman" w:hAnsi="Times New Roman" w:cs="Times New Roman"/>
          <w:sz w:val="24"/>
          <w:szCs w:val="24"/>
        </w:rPr>
        <w:t xml:space="preserve">ο λογισμικό </w:t>
      </w:r>
      <w:r w:rsidRPr="00A06DAD">
        <w:rPr>
          <w:rFonts w:ascii="Times New Roman" w:hAnsi="Times New Roman" w:cs="Times New Roman"/>
          <w:sz w:val="24"/>
          <w:szCs w:val="24"/>
          <w:lang w:val="en-US"/>
        </w:rPr>
        <w:t>Infinicyt</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Cytognos</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S</w:t>
      </w:r>
      <w:r w:rsidRPr="00A06DAD">
        <w:rPr>
          <w:rFonts w:ascii="Times New Roman" w:hAnsi="Times New Roman" w:cs="Times New Roman"/>
          <w:sz w:val="24"/>
          <w:szCs w:val="24"/>
        </w:rPr>
        <w:t>.</w:t>
      </w:r>
      <w:r w:rsidRPr="00A06DAD">
        <w:rPr>
          <w:rFonts w:ascii="Times New Roman" w:hAnsi="Times New Roman" w:cs="Times New Roman"/>
          <w:sz w:val="24"/>
          <w:szCs w:val="24"/>
          <w:lang w:val="en-US"/>
        </w:rPr>
        <w:t>L</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Salamanka</w:t>
      </w:r>
      <w:r w:rsidRPr="00A06DAD">
        <w:rPr>
          <w:rFonts w:ascii="Times New Roman" w:hAnsi="Times New Roman" w:cs="Times New Roman"/>
          <w:sz w:val="24"/>
          <w:szCs w:val="24"/>
        </w:rPr>
        <w:t xml:space="preserve">, </w:t>
      </w:r>
      <w:r w:rsidRPr="00A06DAD">
        <w:rPr>
          <w:rFonts w:ascii="Times New Roman" w:hAnsi="Times New Roman" w:cs="Times New Roman"/>
          <w:sz w:val="24"/>
          <w:szCs w:val="24"/>
          <w:lang w:val="en-US"/>
        </w:rPr>
        <w:t>Spain</w:t>
      </w:r>
      <w:r w:rsidRPr="00A06DAD">
        <w:rPr>
          <w:rFonts w:ascii="Times New Roman" w:hAnsi="Times New Roman" w:cs="Times New Roman"/>
          <w:sz w:val="24"/>
          <w:szCs w:val="24"/>
        </w:rPr>
        <w:t xml:space="preserve">) που επιτρέπει τη συγχώνευση των δεδομένων από τα δύο ανεξάρτητα </w:t>
      </w:r>
      <w:r w:rsidRPr="00A06DAD">
        <w:rPr>
          <w:rFonts w:ascii="Times New Roman" w:hAnsi="Times New Roman" w:cs="Times New Roman"/>
          <w:sz w:val="24"/>
          <w:szCs w:val="24"/>
          <w:lang w:val="en-US"/>
        </w:rPr>
        <w:t>panel</w:t>
      </w:r>
      <w:r w:rsidR="00F70362">
        <w:rPr>
          <w:rFonts w:ascii="Times New Roman" w:hAnsi="Times New Roman" w:cs="Times New Roman"/>
          <w:sz w:val="24"/>
          <w:szCs w:val="24"/>
        </w:rPr>
        <w:t xml:space="preserve"> οκταχρωμίας</w:t>
      </w:r>
      <w:r w:rsidR="00F70362" w:rsidRPr="00F70362">
        <w:rPr>
          <w:rFonts w:ascii="Times New Roman" w:hAnsi="Times New Roman" w:cs="Times New Roman"/>
          <w:sz w:val="24"/>
          <w:szCs w:val="24"/>
        </w:rPr>
        <w:t>,</w:t>
      </w:r>
      <w:r w:rsidRPr="00A06DAD">
        <w:rPr>
          <w:rFonts w:ascii="Times New Roman" w:hAnsi="Times New Roman" w:cs="Times New Roman"/>
          <w:sz w:val="24"/>
          <w:szCs w:val="24"/>
        </w:rPr>
        <w:t xml:space="preserve"> βασιζόμενο στους έξι κοινούς τους δείκτες. </w:t>
      </w:r>
      <w:r w:rsidR="00F70362">
        <w:rPr>
          <w:rFonts w:ascii="Times New Roman" w:hAnsi="Times New Roman" w:cs="Times New Roman"/>
          <w:sz w:val="24"/>
          <w:szCs w:val="24"/>
        </w:rPr>
        <w:t>Με αυτόν τον τρόπο κατέστη δυνατή η αξιολόγηση τουλάχιστον 10</w:t>
      </w:r>
      <w:r w:rsidR="00F70362">
        <w:rPr>
          <w:rFonts w:ascii="Times New Roman" w:hAnsi="Times New Roman" w:cs="Times New Roman"/>
          <w:sz w:val="24"/>
          <w:szCs w:val="24"/>
          <w:lang w:val="en-US"/>
        </w:rPr>
        <w:t>x</w:t>
      </w:r>
      <w:r w:rsidR="00F70362" w:rsidRPr="00F70362">
        <w:rPr>
          <w:rFonts w:ascii="Times New Roman" w:hAnsi="Times New Roman" w:cs="Times New Roman"/>
          <w:sz w:val="24"/>
          <w:szCs w:val="24"/>
        </w:rPr>
        <w:t>10</w:t>
      </w:r>
      <w:r w:rsidR="00F70362" w:rsidRPr="00F70362">
        <w:rPr>
          <w:rFonts w:ascii="Times New Roman" w:hAnsi="Times New Roman" w:cs="Times New Roman"/>
          <w:sz w:val="24"/>
          <w:szCs w:val="24"/>
          <w:vertAlign w:val="superscript"/>
        </w:rPr>
        <w:t xml:space="preserve">6 </w:t>
      </w:r>
      <w:r w:rsidR="00F70362">
        <w:rPr>
          <w:rFonts w:ascii="Times New Roman" w:hAnsi="Times New Roman" w:cs="Times New Roman"/>
          <w:sz w:val="24"/>
          <w:szCs w:val="24"/>
        </w:rPr>
        <w:t>δεδομένων από κάθε δείγμα και συνεπακόλουθα η επίτευξη ενός πολύ υψηλού βαθμού ευαισθησίας της τεχνικής. Συγκεκριμένα, ο</w:t>
      </w:r>
      <w:r w:rsidR="00F70362" w:rsidRPr="00F70362">
        <w:rPr>
          <w:rFonts w:ascii="Times New Roman" w:hAnsi="Times New Roman" w:cs="Times New Roman"/>
          <w:sz w:val="24"/>
          <w:szCs w:val="24"/>
        </w:rPr>
        <w:t xml:space="preserve"> υπολογισμός του ορίου ανίχνευσης (Limit of Detection, LOD) και του ορίου ποσοτικοποίησης (Limit of Quantification, LOQ) </w:t>
      </w:r>
      <w:r w:rsidR="00F70362" w:rsidRPr="00F70362">
        <w:rPr>
          <w:rFonts w:ascii="Times New Roman" w:hAnsi="Times New Roman" w:cs="Times New Roman"/>
          <w:sz w:val="24"/>
          <w:szCs w:val="24"/>
        </w:rPr>
        <w:lastRenderedPageBreak/>
        <w:t>σε κάθε δείγμα υπολογίσθηκε ως ο λόγος των 20 ή 50 κυττάρων αντίστοιχα προς το σύνολο τ</w:t>
      </w:r>
      <w:r w:rsidR="00F70362">
        <w:rPr>
          <w:rFonts w:ascii="Times New Roman" w:hAnsi="Times New Roman" w:cs="Times New Roman"/>
          <w:sz w:val="24"/>
          <w:szCs w:val="24"/>
        </w:rPr>
        <w:t>ων εμπύρηνων κυττάρων του δείγματος</w:t>
      </w:r>
      <w:r w:rsidR="00F70362" w:rsidRPr="00F70362">
        <w:rPr>
          <w:rFonts w:ascii="Times New Roman" w:hAnsi="Times New Roman" w:cs="Times New Roman"/>
          <w:sz w:val="24"/>
          <w:szCs w:val="24"/>
        </w:rPr>
        <w:t>. Δηλαδή</w:t>
      </w:r>
      <w:r w:rsidR="00173578">
        <w:rPr>
          <w:rFonts w:ascii="Times New Roman" w:hAnsi="Times New Roman" w:cs="Times New Roman"/>
          <w:sz w:val="24"/>
          <w:szCs w:val="24"/>
        </w:rPr>
        <w:t xml:space="preserve">, για να θεωρηθεί ένα δείγμα </w:t>
      </w:r>
      <w:r w:rsidR="00173578">
        <w:rPr>
          <w:rFonts w:ascii="Times New Roman" w:hAnsi="Times New Roman" w:cs="Times New Roman"/>
          <w:sz w:val="24"/>
          <w:szCs w:val="24"/>
          <w:lang w:val="en-US"/>
        </w:rPr>
        <w:t>MRD</w:t>
      </w:r>
      <w:r w:rsidR="00F70362" w:rsidRPr="00F70362">
        <w:rPr>
          <w:rFonts w:ascii="Times New Roman" w:hAnsi="Times New Roman" w:cs="Times New Roman"/>
          <w:sz w:val="24"/>
          <w:szCs w:val="24"/>
        </w:rPr>
        <w:t xml:space="preserve">+ θα έπρεπε να υπάρχει μία ομάδα τουλάχιστον 20 κλωνικών πλασματοκυττάρων με τα ίδια φαινοτυπικά χαρακτηριστικά που να τα διαφοροποιεί εμφανώς από τα υπόλοιπα φυσιολογικά πλασματοκύτταρα του δείγματος και, αντίστοιχα, ένα άθροισμα ≥ 50 κυττάρων για να μπορέσει να ποσοτικοποιηθεί ο κλωνικός πληθυσμός. Έτσι, καταγράφοντας ένα μεγάλο αριθμό κυττάρων από το κάθε δείγμα επιτεύχθηκαν πολύ υψηλά επίπεδα ευαισθησίας και συγκεκριμένα στο σύνολο των δειγμάτων </w:t>
      </w:r>
      <w:r w:rsidR="00F70362" w:rsidRPr="00F21743">
        <w:rPr>
          <w:rFonts w:ascii="Times New Roman" w:hAnsi="Times New Roman" w:cs="Times New Roman"/>
          <w:b/>
          <w:sz w:val="24"/>
          <w:szCs w:val="24"/>
        </w:rPr>
        <w:t>η διάμεση τιμή για το LOD ήταν  2,2x10-6</w:t>
      </w:r>
      <w:r w:rsidR="00F70362" w:rsidRPr="00F70362">
        <w:rPr>
          <w:rFonts w:ascii="Times New Roman" w:hAnsi="Times New Roman" w:cs="Times New Roman"/>
          <w:sz w:val="24"/>
          <w:szCs w:val="24"/>
        </w:rPr>
        <w:t xml:space="preserve"> (εύρος 2,1x10-6 - 2,8x10-6) </w:t>
      </w:r>
      <w:r w:rsidR="00F70362" w:rsidRPr="00F21743">
        <w:rPr>
          <w:rFonts w:ascii="Times New Roman" w:hAnsi="Times New Roman" w:cs="Times New Roman"/>
          <w:b/>
          <w:sz w:val="24"/>
          <w:szCs w:val="24"/>
        </w:rPr>
        <w:t>και η διάμεση τιμή για το LOQ 5,5x106</w:t>
      </w:r>
      <w:r w:rsidR="00F70362" w:rsidRPr="00F70362">
        <w:rPr>
          <w:rFonts w:ascii="Times New Roman" w:hAnsi="Times New Roman" w:cs="Times New Roman"/>
          <w:sz w:val="24"/>
          <w:szCs w:val="24"/>
        </w:rPr>
        <w:t xml:space="preserve"> (εύρος 5,3x10-6 – 7,0x10-6)</w:t>
      </w:r>
      <w:r w:rsidR="00F21743">
        <w:rPr>
          <w:rFonts w:ascii="Times New Roman" w:hAnsi="Times New Roman" w:cs="Times New Roman"/>
          <w:sz w:val="24"/>
          <w:szCs w:val="24"/>
        </w:rPr>
        <w:t xml:space="preserve"> </w:t>
      </w:r>
      <w:r w:rsidR="00F21743" w:rsidRPr="00F21743">
        <w:rPr>
          <w:rFonts w:ascii="Times New Roman" w:hAnsi="Times New Roman" w:cs="Times New Roman"/>
          <w:b/>
          <w:sz w:val="24"/>
          <w:szCs w:val="24"/>
        </w:rPr>
        <w:t>(Εικόνα 1Α).</w:t>
      </w:r>
      <w:r w:rsidR="00F70362" w:rsidRPr="00F70362">
        <w:rPr>
          <w:rFonts w:ascii="Times New Roman" w:hAnsi="Times New Roman" w:cs="Times New Roman"/>
          <w:sz w:val="24"/>
          <w:szCs w:val="24"/>
        </w:rPr>
        <w:t xml:space="preserve"> </w:t>
      </w:r>
      <w:r w:rsidRPr="00A06DAD">
        <w:rPr>
          <w:rFonts w:ascii="Times New Roman" w:hAnsi="Times New Roman" w:cs="Times New Roman"/>
          <w:sz w:val="24"/>
          <w:szCs w:val="24"/>
        </w:rPr>
        <w:t xml:space="preserve">Η διάκριση των πλασματοκυττάρων από τα υπόλοιπα κύτταρα του μυελού βασίστηκε στη θετικότητα της έκφρασης των δεικτών </w:t>
      </w:r>
      <w:r w:rsidRPr="00A06DAD">
        <w:rPr>
          <w:rFonts w:ascii="Times New Roman" w:hAnsi="Times New Roman" w:cs="Times New Roman"/>
          <w:sz w:val="24"/>
          <w:szCs w:val="24"/>
          <w:lang w:val="en-US"/>
        </w:rPr>
        <w:t>CD</w:t>
      </w:r>
      <w:r w:rsidRPr="00A06DAD">
        <w:rPr>
          <w:rFonts w:ascii="Times New Roman" w:hAnsi="Times New Roman" w:cs="Times New Roman"/>
          <w:sz w:val="24"/>
          <w:szCs w:val="24"/>
        </w:rPr>
        <w:t xml:space="preserve">38 και </w:t>
      </w:r>
      <w:r w:rsidRPr="00A06DAD">
        <w:rPr>
          <w:rFonts w:ascii="Times New Roman" w:hAnsi="Times New Roman" w:cs="Times New Roman"/>
          <w:sz w:val="24"/>
          <w:szCs w:val="24"/>
          <w:lang w:val="en-US"/>
        </w:rPr>
        <w:t>CD</w:t>
      </w:r>
      <w:r w:rsidRPr="00A06DAD">
        <w:rPr>
          <w:rFonts w:ascii="Times New Roman" w:hAnsi="Times New Roman" w:cs="Times New Roman"/>
          <w:sz w:val="24"/>
          <w:szCs w:val="24"/>
        </w:rPr>
        <w:t>138 αφού είχε προηγηθεί ο αποκλεισμός των κυτταρικών διπλετών και κυτταρικών θραυσμάτων στα κατάλληλα διαγράμματα πρόσθιου και πλάγιου σκεδασμού.</w:t>
      </w:r>
      <w:r w:rsidR="00F21743" w:rsidRPr="00F21743">
        <w:rPr>
          <w:rFonts w:ascii="Times New Roman" w:hAnsi="Times New Roman" w:cs="Times New Roman"/>
          <w:sz w:val="24"/>
          <w:szCs w:val="24"/>
        </w:rPr>
        <w:t xml:space="preserve"> </w:t>
      </w:r>
    </w:p>
    <w:p w:rsidR="006D0ADF" w:rsidRPr="00F21743" w:rsidRDefault="00F21743" w:rsidP="00F53ABC">
      <w:pPr>
        <w:spacing w:after="0" w:line="360" w:lineRule="auto"/>
        <w:ind w:firstLine="426"/>
        <w:jc w:val="both"/>
        <w:rPr>
          <w:rFonts w:ascii="Times New Roman" w:hAnsi="Times New Roman" w:cs="Times New Roman"/>
          <w:sz w:val="24"/>
          <w:szCs w:val="24"/>
        </w:rPr>
      </w:pPr>
      <w:r w:rsidRPr="00F21743">
        <w:rPr>
          <w:rFonts w:ascii="Times New Roman" w:hAnsi="Times New Roman" w:cs="Times New Roman"/>
          <w:sz w:val="24"/>
          <w:szCs w:val="24"/>
        </w:rPr>
        <w:t xml:space="preserve">Η </w:t>
      </w:r>
      <w:r>
        <w:rPr>
          <w:rFonts w:ascii="Times New Roman" w:hAnsi="Times New Roman" w:cs="Times New Roman"/>
          <w:sz w:val="24"/>
          <w:szCs w:val="24"/>
        </w:rPr>
        <w:t xml:space="preserve">αξιολόγηση και η ποσοτικοποίηση (σε περίπτωση θετικού αποτελέσματος) της παρουσίας της </w:t>
      </w:r>
      <w:r>
        <w:rPr>
          <w:rFonts w:ascii="Times New Roman" w:hAnsi="Times New Roman" w:cs="Times New Roman"/>
          <w:sz w:val="24"/>
          <w:szCs w:val="24"/>
          <w:lang w:val="en-US"/>
        </w:rPr>
        <w:t>MRD</w:t>
      </w:r>
      <w:r w:rsidRPr="00F21743">
        <w:rPr>
          <w:rFonts w:ascii="Times New Roman" w:hAnsi="Times New Roman" w:cs="Times New Roman"/>
          <w:sz w:val="24"/>
          <w:szCs w:val="24"/>
        </w:rPr>
        <w:t xml:space="preserve"> πραγματοποιήθηκε ανεξάρτητα από δύο ειδικούς κυτταρομέτρες</w:t>
      </w:r>
      <w:r>
        <w:rPr>
          <w:rFonts w:ascii="Times New Roman" w:hAnsi="Times New Roman" w:cs="Times New Roman"/>
          <w:sz w:val="24"/>
          <w:szCs w:val="24"/>
        </w:rPr>
        <w:t xml:space="preserve"> </w:t>
      </w:r>
      <w:r w:rsidRPr="00F21743">
        <w:rPr>
          <w:rFonts w:ascii="Times New Roman" w:hAnsi="Times New Roman" w:cs="Times New Roman"/>
          <w:sz w:val="24"/>
          <w:szCs w:val="24"/>
        </w:rPr>
        <w:t xml:space="preserve"> </w:t>
      </w:r>
      <w:r w:rsidRPr="00A06DAD">
        <w:rPr>
          <w:rFonts w:ascii="Times New Roman" w:hAnsi="Times New Roman" w:cs="Times New Roman"/>
          <w:sz w:val="24"/>
          <w:szCs w:val="24"/>
        </w:rPr>
        <w:t>με τυφλό τρόπο προκειμένου να ελεγχθεί η αναπαραγωγιμότ</w:t>
      </w:r>
      <w:r>
        <w:rPr>
          <w:rFonts w:ascii="Times New Roman" w:hAnsi="Times New Roman" w:cs="Times New Roman"/>
          <w:sz w:val="24"/>
          <w:szCs w:val="24"/>
        </w:rPr>
        <w:t xml:space="preserve">ητα της αναλυτικής διαδικασίας. </w:t>
      </w:r>
      <w:r w:rsidR="00AF1FDA">
        <w:rPr>
          <w:rFonts w:ascii="Times New Roman" w:hAnsi="Times New Roman" w:cs="Times New Roman"/>
          <w:sz w:val="24"/>
          <w:szCs w:val="24"/>
        </w:rPr>
        <w:t xml:space="preserve">Για το σκοπό αυτό συνεργαστήκαμε </w:t>
      </w:r>
      <w:r w:rsidR="00AF1FDA" w:rsidRPr="00A06DAD">
        <w:rPr>
          <w:rFonts w:ascii="Times New Roman" w:hAnsi="Times New Roman" w:cs="Times New Roman"/>
          <w:sz w:val="24"/>
          <w:szCs w:val="24"/>
        </w:rPr>
        <w:t xml:space="preserve">με τη </w:t>
      </w:r>
      <w:r w:rsidR="00AF1FDA" w:rsidRPr="00AF1FDA">
        <w:rPr>
          <w:rFonts w:ascii="Times New Roman" w:hAnsi="Times New Roman" w:cs="Times New Roman"/>
          <w:b/>
          <w:sz w:val="24"/>
          <w:szCs w:val="24"/>
        </w:rPr>
        <w:t xml:space="preserve">Μονάδα Κυτταρομετρίας Ροής του Πανεπιστημίου της </w:t>
      </w:r>
      <w:r w:rsidR="00AF1FDA" w:rsidRPr="00AF1FDA">
        <w:rPr>
          <w:rFonts w:ascii="Times New Roman" w:hAnsi="Times New Roman" w:cs="Times New Roman"/>
          <w:b/>
          <w:sz w:val="24"/>
          <w:szCs w:val="24"/>
          <w:lang w:val="en-US"/>
        </w:rPr>
        <w:t>Navarra</w:t>
      </w:r>
      <w:r w:rsidR="00AF1FDA" w:rsidRPr="00A06DAD">
        <w:rPr>
          <w:rFonts w:ascii="Times New Roman" w:hAnsi="Times New Roman" w:cs="Times New Roman"/>
          <w:sz w:val="24"/>
          <w:szCs w:val="24"/>
        </w:rPr>
        <w:t xml:space="preserve"> που αποτελεί ένα από τα πρότυπα εργαστήρια της Ομάδας του </w:t>
      </w:r>
      <w:r w:rsidR="00AF1FDA" w:rsidRPr="00A06DAD">
        <w:rPr>
          <w:rFonts w:ascii="Times New Roman" w:hAnsi="Times New Roman" w:cs="Times New Roman"/>
          <w:sz w:val="24"/>
          <w:szCs w:val="24"/>
          <w:lang w:val="en-US"/>
        </w:rPr>
        <w:t>Euroflow</w:t>
      </w:r>
      <w:r w:rsidR="00AF1FDA" w:rsidRPr="00A06DAD">
        <w:rPr>
          <w:rFonts w:ascii="Times New Roman" w:hAnsi="Times New Roman" w:cs="Times New Roman"/>
          <w:sz w:val="24"/>
          <w:szCs w:val="24"/>
        </w:rPr>
        <w:t>.</w:t>
      </w:r>
      <w:r w:rsidR="00AF1FDA">
        <w:rPr>
          <w:rFonts w:ascii="Times New Roman" w:hAnsi="Times New Roman" w:cs="Times New Roman"/>
          <w:sz w:val="24"/>
          <w:szCs w:val="24"/>
        </w:rPr>
        <w:t xml:space="preserve"> Μεταξύ των δύο κυτταρομετριστών (από το εργαστήριό μας και από το συνεργάτη μας στο Πανεπιστημίου της Ν</w:t>
      </w:r>
      <w:r w:rsidR="00AF1FDA">
        <w:rPr>
          <w:rFonts w:ascii="Times New Roman" w:hAnsi="Times New Roman" w:cs="Times New Roman"/>
          <w:sz w:val="24"/>
          <w:szCs w:val="24"/>
          <w:lang w:val="en-US"/>
        </w:rPr>
        <w:t>avarra</w:t>
      </w:r>
      <w:r w:rsidR="00AF1FDA" w:rsidRPr="00AF1FDA">
        <w:rPr>
          <w:rFonts w:ascii="Times New Roman" w:hAnsi="Times New Roman" w:cs="Times New Roman"/>
          <w:sz w:val="24"/>
          <w:szCs w:val="24"/>
        </w:rPr>
        <w:t>)</w:t>
      </w:r>
      <w:r w:rsidR="00AF1FDA">
        <w:rPr>
          <w:rFonts w:ascii="Times New Roman" w:hAnsi="Times New Roman" w:cs="Times New Roman"/>
          <w:sz w:val="24"/>
          <w:szCs w:val="24"/>
        </w:rPr>
        <w:t xml:space="preserve">, </w:t>
      </w:r>
      <w:r w:rsidR="00AF1FDA" w:rsidRPr="00AF1FDA">
        <w:rPr>
          <w:rFonts w:ascii="Times New Roman" w:hAnsi="Times New Roman" w:cs="Times New Roman"/>
          <w:sz w:val="24"/>
          <w:szCs w:val="24"/>
        </w:rPr>
        <w:t xml:space="preserve"> </w:t>
      </w:r>
      <w:r w:rsidRPr="00F21743">
        <w:rPr>
          <w:rFonts w:ascii="Times New Roman" w:hAnsi="Times New Roman" w:cs="Times New Roman"/>
          <w:sz w:val="24"/>
          <w:szCs w:val="24"/>
        </w:rPr>
        <w:t>διαπιστώθηκε ιδιαίτερα μεγάλη επαναληψιμότητα</w:t>
      </w:r>
      <w:r w:rsidR="00AF1FDA">
        <w:rPr>
          <w:rFonts w:ascii="Times New Roman" w:hAnsi="Times New Roman" w:cs="Times New Roman"/>
          <w:sz w:val="24"/>
          <w:szCs w:val="24"/>
        </w:rPr>
        <w:t xml:space="preserve"> ως προς την αξιολόγηση των αποτελεσμάτων. Συγκεκριμένα σε σύνολο 74 δειγμάτων που στάλθηκαν προς επιβεβαίωση βρέθηκε συμφωνία στα 73 από αυτά (</w:t>
      </w:r>
      <w:r w:rsidRPr="00F21743">
        <w:rPr>
          <w:rFonts w:ascii="Times New Roman" w:hAnsi="Times New Roman" w:cs="Times New Roman"/>
          <w:sz w:val="24"/>
          <w:szCs w:val="24"/>
        </w:rPr>
        <w:t>73/74</w:t>
      </w:r>
      <w:r w:rsidR="00AF1FDA">
        <w:rPr>
          <w:rFonts w:ascii="Times New Roman" w:hAnsi="Times New Roman" w:cs="Times New Roman"/>
          <w:sz w:val="24"/>
          <w:szCs w:val="24"/>
        </w:rPr>
        <w:t>, ποσοστό 98,6%).</w:t>
      </w:r>
      <w:r w:rsidRPr="00F21743">
        <w:rPr>
          <w:rFonts w:ascii="Times New Roman" w:hAnsi="Times New Roman" w:cs="Times New Roman"/>
          <w:sz w:val="24"/>
          <w:szCs w:val="24"/>
        </w:rPr>
        <w:t xml:space="preserve"> Αντίστοιχα, ιδιαίτερα μεγάλη συμφωνία υπήρξε και κατά την αξιο</w:t>
      </w:r>
      <w:r w:rsidR="00AF1FDA">
        <w:rPr>
          <w:rFonts w:ascii="Times New Roman" w:hAnsi="Times New Roman" w:cs="Times New Roman"/>
          <w:sz w:val="24"/>
          <w:szCs w:val="24"/>
        </w:rPr>
        <w:t xml:space="preserve">λόγηση του μεγέθους του κλωνικού πληθυσμού στα </w:t>
      </w:r>
      <w:r w:rsidR="00AF1FDA">
        <w:rPr>
          <w:rFonts w:ascii="Times New Roman" w:hAnsi="Times New Roman" w:cs="Times New Roman"/>
          <w:sz w:val="24"/>
          <w:szCs w:val="24"/>
          <w:lang w:val="en-US"/>
        </w:rPr>
        <w:t>MRD</w:t>
      </w:r>
      <w:r w:rsidRPr="00F21743">
        <w:rPr>
          <w:rFonts w:ascii="Times New Roman" w:hAnsi="Times New Roman" w:cs="Times New Roman"/>
          <w:sz w:val="24"/>
          <w:szCs w:val="24"/>
        </w:rPr>
        <w:t xml:space="preserve">+ δείγματα, με τα αποτελέσματα των δύο ερευνητών να εμφανίζουν στατιστικά σημαντική συσχέτιση (r=0,97, p&lt;0,0001, </w:t>
      </w:r>
      <w:r w:rsidR="00AF1FDA">
        <w:rPr>
          <w:rFonts w:ascii="Times New Roman" w:hAnsi="Times New Roman" w:cs="Times New Roman"/>
          <w:b/>
          <w:sz w:val="24"/>
          <w:szCs w:val="24"/>
        </w:rPr>
        <w:t xml:space="preserve">Εικόνα </w:t>
      </w:r>
      <w:r w:rsidR="00AF1FDA" w:rsidRPr="00AF1FDA">
        <w:rPr>
          <w:rFonts w:ascii="Times New Roman" w:hAnsi="Times New Roman" w:cs="Times New Roman"/>
          <w:b/>
          <w:sz w:val="24"/>
          <w:szCs w:val="24"/>
        </w:rPr>
        <w:t>1</w:t>
      </w:r>
      <w:r w:rsidRPr="00F21743">
        <w:rPr>
          <w:rFonts w:ascii="Times New Roman" w:hAnsi="Times New Roman" w:cs="Times New Roman"/>
          <w:b/>
          <w:sz w:val="24"/>
          <w:szCs w:val="24"/>
        </w:rPr>
        <w:t>B</w:t>
      </w:r>
      <w:r w:rsidRPr="00F21743">
        <w:rPr>
          <w:rFonts w:ascii="Times New Roman" w:hAnsi="Times New Roman" w:cs="Times New Roman"/>
          <w:sz w:val="24"/>
          <w:szCs w:val="24"/>
        </w:rPr>
        <w:t>).</w:t>
      </w:r>
    </w:p>
    <w:p w:rsidR="00436F48" w:rsidRPr="00436F48" w:rsidRDefault="00436F48" w:rsidP="00A06DAD">
      <w:pPr>
        <w:spacing w:after="0" w:line="360" w:lineRule="auto"/>
        <w:jc w:val="both"/>
        <w:rPr>
          <w:rFonts w:ascii="Times New Roman" w:hAnsi="Times New Roman" w:cs="Times New Roman"/>
          <w:sz w:val="24"/>
          <w:szCs w:val="24"/>
        </w:rPr>
      </w:pPr>
    </w:p>
    <w:p w:rsidR="00A06DAD" w:rsidRPr="001C3891" w:rsidRDefault="00434B42" w:rsidP="00434B42">
      <w:pPr>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5866543" cy="274320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2.png"/>
                    <pic:cNvPicPr/>
                  </pic:nvPicPr>
                  <pic:blipFill>
                    <a:blip r:embed="rId6">
                      <a:extLst>
                        <a:ext uri="{28A0092B-C50C-407E-A947-70E740481C1C}">
                          <a14:useLocalDpi xmlns:a14="http://schemas.microsoft.com/office/drawing/2010/main" val="0"/>
                        </a:ext>
                      </a:extLst>
                    </a:blip>
                    <a:stretch>
                      <a:fillRect/>
                    </a:stretch>
                  </pic:blipFill>
                  <pic:spPr>
                    <a:xfrm>
                      <a:off x="0" y="0"/>
                      <a:ext cx="5878738" cy="2748903"/>
                    </a:xfrm>
                    <a:prstGeom prst="rect">
                      <a:avLst/>
                    </a:prstGeom>
                  </pic:spPr>
                </pic:pic>
              </a:graphicData>
            </a:graphic>
          </wp:inline>
        </w:drawing>
      </w:r>
    </w:p>
    <w:p w:rsidR="00C10648" w:rsidRPr="00E9528A" w:rsidRDefault="00434B42" w:rsidP="00E9528A">
      <w:pPr>
        <w:pStyle w:val="Web"/>
        <w:spacing w:before="0" w:beforeAutospacing="0" w:after="0" w:afterAutospacing="0" w:line="276" w:lineRule="auto"/>
        <w:jc w:val="both"/>
        <w:rPr>
          <w:i/>
        </w:rPr>
      </w:pPr>
      <w:r>
        <w:rPr>
          <w:rFonts w:asciiTheme="minorHAnsi" w:eastAsiaTheme="minorEastAsia" w:hAnsi="Calibri" w:cstheme="minorBidi"/>
          <w:b/>
          <w:bCs/>
          <w:i/>
          <w:iCs/>
          <w:color w:val="000000" w:themeColor="text1"/>
          <w:kern w:val="24"/>
        </w:rPr>
        <w:t>Εικόνα 1</w:t>
      </w:r>
      <w:r w:rsidRPr="00434B42">
        <w:rPr>
          <w:rFonts w:asciiTheme="minorHAnsi" w:eastAsiaTheme="minorEastAsia" w:hAnsi="Calibri" w:cstheme="minorBidi"/>
          <w:b/>
          <w:bCs/>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A</w:t>
      </w:r>
      <w:r w:rsidRPr="00C10648">
        <w:rPr>
          <w:rFonts w:asciiTheme="minorHAnsi" w:eastAsiaTheme="minorEastAsia" w:hAnsi="Calibri" w:cstheme="minorBidi"/>
          <w:i/>
          <w:iCs/>
          <w:color w:val="000000" w:themeColor="text1"/>
          <w:kern w:val="24"/>
        </w:rPr>
        <w:t>. Όρια ανιχνευσιμότητας (</w:t>
      </w:r>
      <w:r w:rsidRPr="00C10648">
        <w:rPr>
          <w:rFonts w:asciiTheme="minorHAnsi" w:eastAsiaTheme="minorEastAsia" w:hAnsi="Calibri" w:cstheme="minorBidi"/>
          <w:i/>
          <w:iCs/>
          <w:color w:val="000000" w:themeColor="text1"/>
          <w:kern w:val="24"/>
          <w:lang w:val="en-US"/>
        </w:rPr>
        <w:t>limit</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of</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detection</w:t>
      </w:r>
      <w:r w:rsidRPr="00C10648">
        <w:rPr>
          <w:rFonts w:asciiTheme="minorHAnsi" w:eastAsiaTheme="minorEastAsia" w:hAnsi="Calibri" w:cstheme="minorBidi"/>
          <w:i/>
          <w:iCs/>
          <w:color w:val="000000" w:themeColor="text1"/>
          <w:kern w:val="24"/>
        </w:rPr>
        <w:t xml:space="preserve"> - </w:t>
      </w:r>
      <w:r w:rsidRPr="00C10648">
        <w:rPr>
          <w:rFonts w:asciiTheme="minorHAnsi" w:eastAsiaTheme="minorEastAsia" w:hAnsi="Calibri" w:cstheme="minorBidi"/>
          <w:i/>
          <w:iCs/>
          <w:color w:val="000000" w:themeColor="text1"/>
          <w:kern w:val="24"/>
          <w:lang w:val="en-US"/>
        </w:rPr>
        <w:t>LOD</w:t>
      </w:r>
      <w:r w:rsidRPr="00C10648">
        <w:rPr>
          <w:rFonts w:asciiTheme="minorHAnsi" w:eastAsiaTheme="minorEastAsia" w:hAnsi="Calibri" w:cstheme="minorBidi"/>
          <w:i/>
          <w:iCs/>
          <w:color w:val="000000" w:themeColor="text1"/>
          <w:kern w:val="24"/>
        </w:rPr>
        <w:t>) και ποσοτικοποίησης (</w:t>
      </w:r>
      <w:r w:rsidRPr="00C10648">
        <w:rPr>
          <w:rFonts w:asciiTheme="minorHAnsi" w:eastAsiaTheme="minorEastAsia" w:hAnsi="Calibri" w:cstheme="minorBidi"/>
          <w:i/>
          <w:iCs/>
          <w:color w:val="000000" w:themeColor="text1"/>
          <w:kern w:val="24"/>
          <w:lang w:val="en-US"/>
        </w:rPr>
        <w:t>limit</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of</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quantitation</w:t>
      </w:r>
      <w:r w:rsidRPr="00C10648">
        <w:rPr>
          <w:rFonts w:asciiTheme="minorHAnsi" w:eastAsiaTheme="minorEastAsia" w:hAnsi="Calibri" w:cstheme="minorBidi"/>
          <w:i/>
          <w:iCs/>
          <w:color w:val="000000" w:themeColor="text1"/>
          <w:kern w:val="24"/>
        </w:rPr>
        <w:t xml:space="preserve"> – </w:t>
      </w:r>
      <w:r w:rsidRPr="00C10648">
        <w:rPr>
          <w:rFonts w:asciiTheme="minorHAnsi" w:eastAsiaTheme="minorEastAsia" w:hAnsi="Calibri" w:cstheme="minorBidi"/>
          <w:i/>
          <w:iCs/>
          <w:color w:val="000000" w:themeColor="text1"/>
          <w:kern w:val="24"/>
          <w:lang w:val="en-US"/>
        </w:rPr>
        <w:t>LOQ</w:t>
      </w:r>
      <w:r w:rsidRPr="00C10648">
        <w:rPr>
          <w:rFonts w:asciiTheme="minorHAnsi" w:eastAsiaTheme="minorEastAsia" w:hAnsi="Calibri" w:cstheme="minorBidi"/>
          <w:i/>
          <w:iCs/>
          <w:color w:val="000000" w:themeColor="text1"/>
          <w:kern w:val="24"/>
        </w:rPr>
        <w:t xml:space="preserve">) που επιτεύχθηκαν με την εφαρμογή της </w:t>
      </w:r>
      <w:r w:rsidRPr="00C10648">
        <w:rPr>
          <w:rFonts w:asciiTheme="minorHAnsi" w:eastAsiaTheme="minorEastAsia" w:hAnsi="Calibri" w:cstheme="minorBidi"/>
          <w:i/>
          <w:iCs/>
          <w:color w:val="000000" w:themeColor="text1"/>
          <w:kern w:val="24"/>
          <w:lang w:val="en-US"/>
        </w:rPr>
        <w:t>NGF</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Ta</w:t>
      </w:r>
      <w:r w:rsidRPr="00C10648">
        <w:rPr>
          <w:rFonts w:asciiTheme="minorHAnsi" w:eastAsiaTheme="minorEastAsia" w:hAnsi="Calibri" w:cstheme="minorBidi"/>
          <w:i/>
          <w:iCs/>
          <w:color w:val="000000" w:themeColor="text1"/>
          <w:kern w:val="24"/>
        </w:rPr>
        <w:t xml:space="preserve"> </w:t>
      </w:r>
      <w:r w:rsidRPr="00C10648">
        <w:rPr>
          <w:rFonts w:asciiTheme="minorHAnsi" w:eastAsiaTheme="minorEastAsia" w:hAnsi="Calibri" w:cstheme="minorBidi"/>
          <w:i/>
          <w:iCs/>
          <w:color w:val="000000" w:themeColor="text1"/>
          <w:kern w:val="24"/>
          <w:lang w:val="en-US"/>
        </w:rPr>
        <w:t>box</w:t>
      </w:r>
      <w:r w:rsidRPr="00C10648">
        <w:rPr>
          <w:rFonts w:asciiTheme="minorHAnsi" w:eastAsiaTheme="minorEastAsia" w:hAnsi="Calibri" w:cstheme="minorBidi"/>
          <w:i/>
          <w:iCs/>
          <w:color w:val="000000" w:themeColor="text1"/>
          <w:kern w:val="24"/>
        </w:rPr>
        <w:t>-</w:t>
      </w:r>
      <w:r w:rsidRPr="00C10648">
        <w:rPr>
          <w:rFonts w:asciiTheme="minorHAnsi" w:eastAsiaTheme="minorEastAsia" w:hAnsi="Calibri" w:cstheme="minorBidi"/>
          <w:i/>
          <w:iCs/>
          <w:color w:val="000000" w:themeColor="text1"/>
          <w:kern w:val="24"/>
          <w:lang w:val="en-US"/>
        </w:rPr>
        <w:t>plot</w:t>
      </w:r>
      <w:r w:rsidRPr="00C10648">
        <w:rPr>
          <w:rFonts w:asciiTheme="minorHAnsi" w:eastAsiaTheme="minorEastAsia" w:hAnsi="Calibri" w:cstheme="minorBidi"/>
          <w:i/>
          <w:iCs/>
          <w:color w:val="000000" w:themeColor="text1"/>
          <w:kern w:val="24"/>
        </w:rPr>
        <w:t xml:space="preserve"> αναπαριστούν το 25</w:t>
      </w:r>
      <w:r w:rsidRPr="00C10648">
        <w:rPr>
          <w:rFonts w:asciiTheme="minorHAnsi" w:eastAsiaTheme="minorEastAsia" w:hAnsi="Calibri" w:cstheme="minorBidi"/>
          <w:i/>
          <w:iCs/>
          <w:color w:val="000000" w:themeColor="text1"/>
          <w:kern w:val="24"/>
          <w:vertAlign w:val="superscript"/>
        </w:rPr>
        <w:t>ο</w:t>
      </w:r>
      <w:r w:rsidRPr="00C10648">
        <w:rPr>
          <w:rFonts w:asciiTheme="minorHAnsi" w:eastAsiaTheme="minorEastAsia" w:hAnsi="Calibri" w:cstheme="minorBidi"/>
          <w:i/>
          <w:iCs/>
          <w:color w:val="000000" w:themeColor="text1"/>
          <w:kern w:val="24"/>
        </w:rPr>
        <w:t xml:space="preserve"> και 75</w:t>
      </w:r>
      <w:r w:rsidRPr="00C10648">
        <w:rPr>
          <w:rFonts w:asciiTheme="minorHAnsi" w:eastAsiaTheme="minorEastAsia" w:hAnsi="Calibri" w:cstheme="minorBidi"/>
          <w:i/>
          <w:iCs/>
          <w:color w:val="000000" w:themeColor="text1"/>
          <w:kern w:val="24"/>
          <w:vertAlign w:val="superscript"/>
        </w:rPr>
        <w:t>ο</w:t>
      </w:r>
      <w:r w:rsidRPr="00C10648">
        <w:rPr>
          <w:rFonts w:asciiTheme="minorHAnsi" w:eastAsiaTheme="minorEastAsia" w:hAnsi="Calibri" w:cstheme="minorBidi"/>
          <w:i/>
          <w:iCs/>
          <w:color w:val="000000" w:themeColor="text1"/>
          <w:kern w:val="24"/>
        </w:rPr>
        <w:t xml:space="preserve"> εκατοστημόριο και οι οριζόντιες γραμμές τις μέσες τιμές των μετρήσεων. </w:t>
      </w:r>
      <w:r w:rsidRPr="00C10648">
        <w:rPr>
          <w:rFonts w:asciiTheme="minorHAnsi" w:eastAsiaTheme="minorEastAsia" w:hAnsi="Calibri" w:cstheme="minorBidi"/>
          <w:i/>
          <w:iCs/>
          <w:color w:val="000000" w:themeColor="text1"/>
          <w:kern w:val="24"/>
          <w:lang w:val="en-US"/>
        </w:rPr>
        <w:t>B</w:t>
      </w:r>
      <w:r w:rsidRPr="00C10648">
        <w:rPr>
          <w:rFonts w:asciiTheme="minorHAnsi" w:eastAsiaTheme="minorEastAsia" w:hAnsi="Calibri" w:cstheme="minorBidi"/>
          <w:i/>
          <w:iCs/>
          <w:color w:val="000000" w:themeColor="text1"/>
          <w:kern w:val="24"/>
        </w:rPr>
        <w:t xml:space="preserve">. Ποσοτική συσχέτιση των επιπέδων της </w:t>
      </w:r>
      <w:r w:rsidR="00173578">
        <w:rPr>
          <w:rFonts w:asciiTheme="minorHAnsi" w:eastAsiaTheme="minorEastAsia" w:hAnsi="Calibri" w:cstheme="minorBidi"/>
          <w:i/>
          <w:iCs/>
          <w:color w:val="000000" w:themeColor="text1"/>
          <w:kern w:val="24"/>
          <w:lang w:val="en-US"/>
        </w:rPr>
        <w:t>MRD</w:t>
      </w:r>
      <w:r w:rsidRPr="00C10648">
        <w:rPr>
          <w:rFonts w:asciiTheme="minorHAnsi" w:eastAsiaTheme="minorEastAsia" w:hAnsi="Calibri" w:cstheme="minorBidi"/>
          <w:i/>
          <w:iCs/>
          <w:color w:val="000000" w:themeColor="text1"/>
          <w:kern w:val="24"/>
        </w:rPr>
        <w:t xml:space="preserve"> με βάση τα αποτελέσματα της ανάλυσης δύο έμπειρων κυτταρομετριστών</w:t>
      </w:r>
    </w:p>
    <w:p w:rsidR="00C10648" w:rsidRPr="00A06DAD" w:rsidRDefault="00C10648" w:rsidP="00E9528A">
      <w:pPr>
        <w:spacing w:line="480" w:lineRule="auto"/>
        <w:jc w:val="both"/>
        <w:rPr>
          <w:rFonts w:ascii="Times New Roman" w:hAnsi="Times New Roman" w:cs="Times New Roman"/>
          <w:sz w:val="24"/>
          <w:szCs w:val="24"/>
        </w:rPr>
      </w:pPr>
    </w:p>
    <w:p w:rsidR="000B740D" w:rsidRPr="00D456CB" w:rsidRDefault="000B740D" w:rsidP="00D456CB">
      <w:pPr>
        <w:spacing w:after="0" w:line="480" w:lineRule="auto"/>
        <w:jc w:val="center"/>
        <w:rPr>
          <w:rFonts w:ascii="Arial" w:hAnsi="Arial" w:cs="Arial"/>
          <w:b/>
          <w:sz w:val="24"/>
          <w:szCs w:val="24"/>
        </w:rPr>
      </w:pPr>
      <w:r w:rsidRPr="00D456CB">
        <w:rPr>
          <w:rFonts w:ascii="Arial" w:hAnsi="Arial" w:cs="Arial"/>
          <w:b/>
          <w:sz w:val="24"/>
          <w:szCs w:val="24"/>
        </w:rPr>
        <w:t xml:space="preserve">Συχνότητα εμφάνισης και κλινική αξιολόγηση της </w:t>
      </w:r>
      <w:r w:rsidRPr="00D456CB">
        <w:rPr>
          <w:rFonts w:ascii="Arial" w:hAnsi="Arial" w:cs="Arial"/>
          <w:b/>
          <w:sz w:val="24"/>
          <w:szCs w:val="24"/>
          <w:lang w:val="en-US"/>
        </w:rPr>
        <w:t>MRD</w:t>
      </w:r>
    </w:p>
    <w:p w:rsidR="00D456CB" w:rsidRDefault="00D456CB" w:rsidP="0078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Κατά την περίοδο εκπόνησης της έρευνας πραγματοποιήθηκαν στο εργαστήριό μας 150 έλεγχοι για την παρουσία της </w:t>
      </w:r>
      <w:r>
        <w:rPr>
          <w:rFonts w:ascii="Times New Roman" w:hAnsi="Times New Roman" w:cs="Times New Roman"/>
          <w:sz w:val="24"/>
          <w:szCs w:val="24"/>
          <w:lang w:val="en-US"/>
        </w:rPr>
        <w:t>MRD</w:t>
      </w:r>
      <w:r w:rsidRPr="00D456CB">
        <w:rPr>
          <w:rFonts w:ascii="Times New Roman" w:hAnsi="Times New Roman" w:cs="Times New Roman"/>
          <w:sz w:val="24"/>
          <w:szCs w:val="24"/>
        </w:rPr>
        <w:t xml:space="preserve"> </w:t>
      </w:r>
      <w:r>
        <w:rPr>
          <w:rFonts w:ascii="Times New Roman" w:hAnsi="Times New Roman" w:cs="Times New Roman"/>
          <w:sz w:val="24"/>
          <w:szCs w:val="24"/>
        </w:rPr>
        <w:t>σε ασθενείς</w:t>
      </w:r>
      <w:r w:rsidR="008C7604">
        <w:rPr>
          <w:rFonts w:ascii="Times New Roman" w:hAnsi="Times New Roman" w:cs="Times New Roman"/>
          <w:sz w:val="24"/>
          <w:szCs w:val="24"/>
        </w:rPr>
        <w:t xml:space="preserve"> με ΠΜ</w:t>
      </w:r>
      <w:r>
        <w:rPr>
          <w:rFonts w:ascii="Times New Roman" w:hAnsi="Times New Roman" w:cs="Times New Roman"/>
          <w:sz w:val="24"/>
          <w:szCs w:val="24"/>
        </w:rPr>
        <w:t xml:space="preserve"> που βρίσκονταν σε πλήρη ύφεση μετά την πρώτη γραμμής θεραπεία. Από αυτούς οι 78 βρέθηκαν θετικοί στην παρουσία </w:t>
      </w:r>
      <w:r>
        <w:rPr>
          <w:rFonts w:ascii="Times New Roman" w:hAnsi="Times New Roman" w:cs="Times New Roman"/>
          <w:sz w:val="24"/>
          <w:szCs w:val="24"/>
          <w:lang w:val="en-US"/>
        </w:rPr>
        <w:t>MRD</w:t>
      </w:r>
      <w:r w:rsidRPr="00D456CB">
        <w:rPr>
          <w:rFonts w:ascii="Times New Roman" w:hAnsi="Times New Roman" w:cs="Times New Roman"/>
          <w:sz w:val="24"/>
          <w:szCs w:val="24"/>
        </w:rPr>
        <w:t xml:space="preserve"> (78/150, 52%)</w:t>
      </w:r>
      <w:r w:rsidRPr="008C7604">
        <w:rPr>
          <w:rFonts w:ascii="Times New Roman" w:hAnsi="Times New Roman" w:cs="Times New Roman"/>
          <w:sz w:val="24"/>
          <w:szCs w:val="24"/>
        </w:rPr>
        <w:t xml:space="preserve">, </w:t>
      </w:r>
      <w:r w:rsidR="008C7604">
        <w:rPr>
          <w:rFonts w:ascii="Times New Roman" w:hAnsi="Times New Roman" w:cs="Times New Roman"/>
          <w:sz w:val="24"/>
          <w:szCs w:val="24"/>
        </w:rPr>
        <w:t>αρκετοί από τους οποίους σε επίπεδα ≤10</w:t>
      </w:r>
      <w:r w:rsidR="008C7604" w:rsidRPr="008C7604">
        <w:rPr>
          <w:rFonts w:ascii="Times New Roman" w:hAnsi="Times New Roman" w:cs="Times New Roman"/>
          <w:sz w:val="24"/>
          <w:szCs w:val="24"/>
          <w:vertAlign w:val="superscript"/>
        </w:rPr>
        <w:t>-5</w:t>
      </w:r>
      <w:r w:rsidR="008C7604">
        <w:rPr>
          <w:rFonts w:ascii="Times New Roman" w:hAnsi="Times New Roman" w:cs="Times New Roman"/>
          <w:sz w:val="24"/>
          <w:szCs w:val="24"/>
        </w:rPr>
        <w:t xml:space="preserve">, το οποίο πρακτικά σημαίνει ότι θα είχαν θεωρηθεί ψευδώς ως </w:t>
      </w:r>
      <w:r w:rsidR="008C7604">
        <w:rPr>
          <w:rFonts w:ascii="Times New Roman" w:hAnsi="Times New Roman" w:cs="Times New Roman"/>
          <w:sz w:val="24"/>
          <w:szCs w:val="24"/>
          <w:lang w:val="en-US"/>
        </w:rPr>
        <w:t>MRD</w:t>
      </w:r>
      <w:r w:rsidR="008C7604" w:rsidRPr="008C7604">
        <w:rPr>
          <w:rFonts w:ascii="Times New Roman" w:hAnsi="Times New Roman" w:cs="Times New Roman"/>
          <w:sz w:val="24"/>
          <w:szCs w:val="24"/>
        </w:rPr>
        <w:t>-</w:t>
      </w:r>
      <w:r w:rsidR="008C7604">
        <w:rPr>
          <w:rFonts w:ascii="Times New Roman" w:hAnsi="Times New Roman" w:cs="Times New Roman"/>
          <w:sz w:val="24"/>
          <w:szCs w:val="24"/>
        </w:rPr>
        <w:t xml:space="preserve"> αν είχε χρησιμοποιηθεί κάποια τεχνική μικρότερης ευαισθησίας. Αυτός είναι και ο λόγος που τα ποσοστά εμφάνισης της </w:t>
      </w:r>
      <w:r w:rsidR="008C7604">
        <w:rPr>
          <w:rFonts w:ascii="Times New Roman" w:hAnsi="Times New Roman" w:cs="Times New Roman"/>
          <w:sz w:val="24"/>
          <w:szCs w:val="24"/>
          <w:lang w:val="en-US"/>
        </w:rPr>
        <w:t>MRD</w:t>
      </w:r>
      <w:r w:rsidR="008C7604" w:rsidRPr="008C7604">
        <w:rPr>
          <w:rFonts w:ascii="Times New Roman" w:hAnsi="Times New Roman" w:cs="Times New Roman"/>
          <w:sz w:val="24"/>
          <w:szCs w:val="24"/>
        </w:rPr>
        <w:t xml:space="preserve"> </w:t>
      </w:r>
      <w:r w:rsidR="008C7604">
        <w:rPr>
          <w:rFonts w:ascii="Times New Roman" w:hAnsi="Times New Roman" w:cs="Times New Roman"/>
          <w:sz w:val="24"/>
          <w:szCs w:val="24"/>
        </w:rPr>
        <w:t>στη παρούσα ομάδα ασθενών εμφανίζονται αυξημένα σε σχέση με τα δημοσιευμένα ποσοστά από άλλες ομάδες που χρησιμοποιούσαν όμως χαμηλότερης ευαισθησίας τεχνικές</w:t>
      </w:r>
      <w:r w:rsidR="00C94443">
        <w:rPr>
          <w:rFonts w:ascii="Times New Roman" w:hAnsi="Times New Roman" w:cs="Times New Roman"/>
          <w:sz w:val="24"/>
          <w:szCs w:val="24"/>
        </w:rPr>
        <w:t xml:space="preserve"> (Βλ συζήτηση)</w:t>
      </w:r>
      <w:r w:rsidR="008C7604">
        <w:rPr>
          <w:rFonts w:ascii="Times New Roman" w:hAnsi="Times New Roman" w:cs="Times New Roman"/>
          <w:sz w:val="24"/>
          <w:szCs w:val="24"/>
        </w:rPr>
        <w:t>.</w:t>
      </w:r>
    </w:p>
    <w:p w:rsidR="008220CE" w:rsidRPr="00CC360F" w:rsidRDefault="008C7604" w:rsidP="00780A2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Ιδιαίτερης κλινικής σημασίας στη θεραπεία του ΠΜ αποτελεί το είδος της ύφεσης που επιτυγχάνει ο ασθενής (μερική ύφεση, πολύ καλή μερική ύφεση, πλήρης ύφεση κλπ) και ο χρόνος στον οποίο ο ασθενής παραμένει σε αυτήν. Οι ασθενείς που μελετήσαμε ήταν όλοι σε πλήρη ύφεση αλλά ο χρόνος παραμονής τους σε αυτήν ποικίλ</w:t>
      </w:r>
      <w:r w:rsidR="00C10648">
        <w:rPr>
          <w:rFonts w:ascii="Times New Roman" w:hAnsi="Times New Roman" w:cs="Times New Roman"/>
          <w:sz w:val="24"/>
          <w:szCs w:val="24"/>
        </w:rPr>
        <w:t xml:space="preserve">ε σε μεγάλο βαθμό. Για το λόγο αυτό, η αξιολόγηση της </w:t>
      </w:r>
      <w:r>
        <w:rPr>
          <w:rFonts w:ascii="Times New Roman" w:hAnsi="Times New Roman" w:cs="Times New Roman"/>
          <w:sz w:val="24"/>
          <w:szCs w:val="24"/>
        </w:rPr>
        <w:t>κλινική</w:t>
      </w:r>
      <w:r w:rsidR="00C10648">
        <w:rPr>
          <w:rFonts w:ascii="Times New Roman" w:hAnsi="Times New Roman" w:cs="Times New Roman"/>
          <w:sz w:val="24"/>
          <w:szCs w:val="24"/>
        </w:rPr>
        <w:t>ς</w:t>
      </w:r>
      <w:r>
        <w:rPr>
          <w:rFonts w:ascii="Times New Roman" w:hAnsi="Times New Roman" w:cs="Times New Roman"/>
          <w:sz w:val="24"/>
          <w:szCs w:val="24"/>
        </w:rPr>
        <w:t xml:space="preserve"> </w:t>
      </w:r>
      <w:r w:rsidRPr="001E0110">
        <w:rPr>
          <w:rFonts w:ascii="Times New Roman" w:hAnsi="Times New Roman" w:cs="Times New Roman"/>
          <w:sz w:val="24"/>
          <w:szCs w:val="24"/>
        </w:rPr>
        <w:t>σημασία</w:t>
      </w:r>
      <w:r w:rsidR="00C10648">
        <w:rPr>
          <w:rFonts w:ascii="Times New Roman" w:hAnsi="Times New Roman" w:cs="Times New Roman"/>
          <w:sz w:val="24"/>
          <w:szCs w:val="24"/>
        </w:rPr>
        <w:t>ς</w:t>
      </w:r>
      <w:r w:rsidRPr="001E0110">
        <w:rPr>
          <w:rFonts w:ascii="Times New Roman" w:hAnsi="Times New Roman" w:cs="Times New Roman"/>
          <w:sz w:val="24"/>
          <w:szCs w:val="24"/>
        </w:rPr>
        <w:t xml:space="preserve"> της </w:t>
      </w:r>
      <w:r w:rsidRPr="001E0110">
        <w:rPr>
          <w:rFonts w:ascii="Times New Roman" w:hAnsi="Times New Roman" w:cs="Times New Roman"/>
          <w:sz w:val="24"/>
          <w:szCs w:val="24"/>
          <w:lang w:val="en-US"/>
        </w:rPr>
        <w:t>MRD</w:t>
      </w:r>
      <w:r w:rsidRPr="001E0110">
        <w:rPr>
          <w:rFonts w:ascii="Times New Roman" w:hAnsi="Times New Roman" w:cs="Times New Roman"/>
          <w:sz w:val="24"/>
          <w:szCs w:val="24"/>
        </w:rPr>
        <w:t xml:space="preserve"> </w:t>
      </w:r>
      <w:r w:rsidR="00C10648">
        <w:rPr>
          <w:rFonts w:ascii="Times New Roman" w:hAnsi="Times New Roman" w:cs="Times New Roman"/>
          <w:sz w:val="24"/>
          <w:szCs w:val="24"/>
        </w:rPr>
        <w:t xml:space="preserve">πραγματοποιήθηκε σε μία επιλεγμένη </w:t>
      </w:r>
      <w:r w:rsidRPr="001E0110">
        <w:rPr>
          <w:rFonts w:ascii="Times New Roman" w:hAnsi="Times New Roman" w:cs="Times New Roman"/>
          <w:sz w:val="24"/>
          <w:szCs w:val="24"/>
        </w:rPr>
        <w:t>ομάδα 56 ασθενών</w:t>
      </w:r>
      <w:r w:rsidR="001E0110" w:rsidRPr="001E0110">
        <w:rPr>
          <w:rFonts w:ascii="Times New Roman" w:hAnsi="Times New Roman" w:cs="Times New Roman"/>
          <w:sz w:val="24"/>
          <w:szCs w:val="24"/>
        </w:rPr>
        <w:t>, ομοιογενή ως</w:t>
      </w:r>
      <w:r w:rsidRPr="001E0110">
        <w:rPr>
          <w:rFonts w:ascii="Times New Roman" w:hAnsi="Times New Roman" w:cs="Times New Roman"/>
          <w:sz w:val="24"/>
          <w:szCs w:val="24"/>
        </w:rPr>
        <w:t xml:space="preserve"> </w:t>
      </w:r>
      <w:r w:rsidR="001E0110" w:rsidRPr="001E0110">
        <w:rPr>
          <w:rFonts w:ascii="Times New Roman" w:hAnsi="Times New Roman" w:cs="Times New Roman"/>
          <w:sz w:val="24"/>
          <w:szCs w:val="24"/>
        </w:rPr>
        <w:t xml:space="preserve">προς </w:t>
      </w:r>
      <w:r w:rsidR="001E0110" w:rsidRPr="001E0110">
        <w:rPr>
          <w:rFonts w:ascii="Times New Roman" w:hAnsi="Times New Roman" w:cs="Times New Roman"/>
          <w:sz w:val="24"/>
          <w:szCs w:val="24"/>
        </w:rPr>
        <w:lastRenderedPageBreak/>
        <w:t>το γεγονός ότι</w:t>
      </w:r>
      <w:r w:rsidR="00C10648">
        <w:rPr>
          <w:rFonts w:ascii="Times New Roman" w:hAnsi="Times New Roman" w:cs="Times New Roman"/>
          <w:sz w:val="24"/>
          <w:szCs w:val="24"/>
        </w:rPr>
        <w:t xml:space="preserve"> οι ασθενείς</w:t>
      </w:r>
      <w:r w:rsidR="001E0110" w:rsidRPr="001E0110">
        <w:rPr>
          <w:rFonts w:ascii="Times New Roman" w:hAnsi="Times New Roman" w:cs="Times New Roman"/>
          <w:sz w:val="24"/>
          <w:szCs w:val="24"/>
        </w:rPr>
        <w:t xml:space="preserve"> βρίσκονταν σε μακροχρόνια ύφεση</w:t>
      </w:r>
      <w:r w:rsidR="001E0110">
        <w:rPr>
          <w:rFonts w:ascii="Times New Roman" w:hAnsi="Times New Roman" w:cs="Times New Roman"/>
          <w:sz w:val="24"/>
          <w:szCs w:val="24"/>
        </w:rPr>
        <w:t xml:space="preserve"> (</w:t>
      </w:r>
      <w:r w:rsidR="00C10648">
        <w:rPr>
          <w:rFonts w:ascii="Times New Roman" w:hAnsi="Times New Roman" w:cs="Times New Roman"/>
          <w:sz w:val="24"/>
          <w:szCs w:val="24"/>
        </w:rPr>
        <w:t xml:space="preserve">χρονικό διάστημα </w:t>
      </w:r>
      <w:r w:rsidR="001E0110">
        <w:rPr>
          <w:rFonts w:ascii="Times New Roman" w:hAnsi="Times New Roman" w:cs="Times New Roman"/>
          <w:sz w:val="24"/>
          <w:szCs w:val="24"/>
        </w:rPr>
        <w:t>τουλάχιστον 2</w:t>
      </w:r>
      <w:r w:rsidR="00C10648">
        <w:rPr>
          <w:rFonts w:ascii="Times New Roman" w:hAnsi="Times New Roman" w:cs="Times New Roman"/>
          <w:sz w:val="24"/>
          <w:szCs w:val="24"/>
        </w:rPr>
        <w:t xml:space="preserve"> ετών</w:t>
      </w:r>
      <w:r w:rsidR="001E0110">
        <w:rPr>
          <w:rFonts w:ascii="Times New Roman" w:hAnsi="Times New Roman" w:cs="Times New Roman"/>
          <w:sz w:val="24"/>
          <w:szCs w:val="24"/>
        </w:rPr>
        <w:t xml:space="preserve"> σε</w:t>
      </w:r>
      <w:r w:rsidR="00C10648">
        <w:rPr>
          <w:rFonts w:ascii="Times New Roman" w:hAnsi="Times New Roman" w:cs="Times New Roman"/>
          <w:sz w:val="24"/>
          <w:szCs w:val="24"/>
        </w:rPr>
        <w:t xml:space="preserve"> πλήρη</w:t>
      </w:r>
      <w:r w:rsidR="001E0110">
        <w:rPr>
          <w:rFonts w:ascii="Times New Roman" w:hAnsi="Times New Roman" w:cs="Times New Roman"/>
          <w:sz w:val="24"/>
          <w:szCs w:val="24"/>
        </w:rPr>
        <w:t xml:space="preserve"> ύφεση και με μέσο χρόνο παραμονής τους 63 μήνες</w:t>
      </w:r>
      <w:r w:rsidR="001E0110" w:rsidRPr="001E0110">
        <w:rPr>
          <w:rFonts w:ascii="Times New Roman" w:hAnsi="Times New Roman" w:cs="Times New Roman"/>
          <w:sz w:val="24"/>
          <w:szCs w:val="24"/>
        </w:rPr>
        <w:t xml:space="preserve">) μετά τη θεραπεία πρώτης γραμμής. </w:t>
      </w:r>
      <w:r w:rsidR="00C10648">
        <w:rPr>
          <w:rFonts w:ascii="Times New Roman" w:hAnsi="Times New Roman" w:cs="Times New Roman"/>
          <w:sz w:val="24"/>
          <w:szCs w:val="24"/>
        </w:rPr>
        <w:t xml:space="preserve">Από το σύνολο των ασθενών αυτών, 30 δείγματα </w:t>
      </w:r>
      <w:r w:rsidR="001E0110" w:rsidRPr="001E0110">
        <w:rPr>
          <w:rFonts w:ascii="Times New Roman" w:hAnsi="Times New Roman" w:cs="Times New Roman"/>
          <w:sz w:val="24"/>
          <w:szCs w:val="24"/>
        </w:rPr>
        <w:t xml:space="preserve"> βρέθηκαν </w:t>
      </w:r>
      <w:r w:rsidR="001E0110">
        <w:rPr>
          <w:rFonts w:ascii="Times New Roman" w:hAnsi="Times New Roman" w:cs="Times New Roman"/>
          <w:sz w:val="24"/>
          <w:szCs w:val="24"/>
          <w:lang w:val="en-US"/>
        </w:rPr>
        <w:t>MRD</w:t>
      </w:r>
      <w:r w:rsidR="001E0110" w:rsidRPr="001E0110">
        <w:rPr>
          <w:rFonts w:ascii="Times New Roman" w:hAnsi="Times New Roman" w:cs="Times New Roman"/>
          <w:sz w:val="24"/>
          <w:szCs w:val="24"/>
        </w:rPr>
        <w:t>+</w:t>
      </w:r>
      <w:r w:rsidR="00C10648">
        <w:rPr>
          <w:rFonts w:ascii="Times New Roman" w:hAnsi="Times New Roman" w:cs="Times New Roman"/>
          <w:sz w:val="24"/>
          <w:szCs w:val="24"/>
        </w:rPr>
        <w:t xml:space="preserve"> (</w:t>
      </w:r>
      <w:r w:rsidR="00C10648" w:rsidRPr="001E0110">
        <w:rPr>
          <w:rFonts w:ascii="Times New Roman" w:hAnsi="Times New Roman" w:cs="Times New Roman"/>
          <w:sz w:val="24"/>
          <w:szCs w:val="24"/>
        </w:rPr>
        <w:t>30/56</w:t>
      </w:r>
      <w:r w:rsidR="00C10648">
        <w:rPr>
          <w:rFonts w:ascii="Times New Roman" w:hAnsi="Times New Roman" w:cs="Times New Roman"/>
          <w:sz w:val="24"/>
          <w:szCs w:val="24"/>
        </w:rPr>
        <w:t>, 53,6%),</w:t>
      </w:r>
      <w:r w:rsidR="001E0110" w:rsidRPr="001E0110">
        <w:rPr>
          <w:rFonts w:ascii="Times New Roman" w:hAnsi="Times New Roman" w:cs="Times New Roman"/>
          <w:sz w:val="24"/>
          <w:szCs w:val="24"/>
        </w:rPr>
        <w:t xml:space="preserve"> </w:t>
      </w:r>
      <w:r w:rsidR="001E0110">
        <w:rPr>
          <w:rFonts w:ascii="Times New Roman" w:hAnsi="Times New Roman" w:cs="Times New Roman"/>
          <w:sz w:val="24"/>
          <w:szCs w:val="24"/>
        </w:rPr>
        <w:t>με την πλε</w:t>
      </w:r>
      <w:r w:rsidR="00C10648">
        <w:rPr>
          <w:rFonts w:ascii="Times New Roman" w:hAnsi="Times New Roman" w:cs="Times New Roman"/>
          <w:sz w:val="24"/>
          <w:szCs w:val="24"/>
        </w:rPr>
        <w:t xml:space="preserve">ιοψηφία τους να εμφανίζει τον κλωνικό πληθυσμό </w:t>
      </w:r>
      <w:r w:rsidR="001E0110">
        <w:rPr>
          <w:rFonts w:ascii="Times New Roman" w:hAnsi="Times New Roman" w:cs="Times New Roman"/>
          <w:sz w:val="24"/>
          <w:szCs w:val="24"/>
        </w:rPr>
        <w:t>σε πολύ χαμηλά επίπεδα</w:t>
      </w:r>
      <w:r w:rsidR="00C10648">
        <w:rPr>
          <w:rFonts w:ascii="Times New Roman" w:hAnsi="Times New Roman" w:cs="Times New Roman"/>
          <w:sz w:val="24"/>
          <w:szCs w:val="24"/>
        </w:rPr>
        <w:t>. Πιο συγκεκριμένα,</w:t>
      </w:r>
      <w:r w:rsidR="001E0110">
        <w:rPr>
          <w:rFonts w:ascii="Times New Roman" w:hAnsi="Times New Roman" w:cs="Times New Roman"/>
          <w:sz w:val="24"/>
          <w:szCs w:val="24"/>
        </w:rPr>
        <w:t xml:space="preserve"> </w:t>
      </w:r>
      <w:r w:rsidR="001E0110" w:rsidRPr="001E0110">
        <w:rPr>
          <w:rFonts w:ascii="Times New Roman" w:hAnsi="Times New Roman" w:cs="Times New Roman"/>
          <w:sz w:val="24"/>
          <w:szCs w:val="24"/>
        </w:rPr>
        <w:t>σε</w:t>
      </w:r>
      <w:r w:rsidR="001E0110">
        <w:rPr>
          <w:rFonts w:ascii="Times New Roman" w:hAnsi="Times New Roman" w:cs="Times New Roman"/>
          <w:sz w:val="24"/>
          <w:szCs w:val="24"/>
        </w:rPr>
        <w:t xml:space="preserve"> 13/30</w:t>
      </w:r>
      <w:r w:rsidR="008220CE" w:rsidRPr="008220CE">
        <w:rPr>
          <w:rFonts w:ascii="Times New Roman" w:hAnsi="Times New Roman" w:cs="Times New Roman"/>
          <w:sz w:val="24"/>
          <w:szCs w:val="24"/>
        </w:rPr>
        <w:t xml:space="preserve"> </w:t>
      </w:r>
      <w:r w:rsidR="008220CE">
        <w:rPr>
          <w:rFonts w:ascii="Times New Roman" w:hAnsi="Times New Roman" w:cs="Times New Roman"/>
          <w:sz w:val="24"/>
          <w:szCs w:val="24"/>
          <w:lang w:val="en-US"/>
        </w:rPr>
        <w:t>MRD</w:t>
      </w:r>
      <w:r w:rsidR="008220CE" w:rsidRPr="008220CE">
        <w:rPr>
          <w:rFonts w:ascii="Times New Roman" w:hAnsi="Times New Roman" w:cs="Times New Roman"/>
          <w:sz w:val="24"/>
          <w:szCs w:val="24"/>
        </w:rPr>
        <w:t xml:space="preserve">+ </w:t>
      </w:r>
      <w:r w:rsidR="008220CE">
        <w:rPr>
          <w:rFonts w:ascii="Times New Roman" w:hAnsi="Times New Roman" w:cs="Times New Roman"/>
          <w:sz w:val="24"/>
          <w:szCs w:val="24"/>
        </w:rPr>
        <w:t>δείγματα</w:t>
      </w:r>
      <w:r w:rsidR="001E0110">
        <w:rPr>
          <w:rFonts w:ascii="Times New Roman" w:hAnsi="Times New Roman" w:cs="Times New Roman"/>
          <w:sz w:val="24"/>
          <w:szCs w:val="24"/>
        </w:rPr>
        <w:t xml:space="preserve"> (43%)</w:t>
      </w:r>
      <w:r w:rsidR="008220CE">
        <w:rPr>
          <w:rFonts w:ascii="Times New Roman" w:hAnsi="Times New Roman" w:cs="Times New Roman"/>
          <w:sz w:val="24"/>
          <w:szCs w:val="24"/>
        </w:rPr>
        <w:t xml:space="preserve"> ο παθολογικός πληθυσμός ανιχνεύθηκε σε επίπεδο</w:t>
      </w:r>
      <w:r w:rsidR="008220CE" w:rsidRPr="008220CE">
        <w:rPr>
          <w:rFonts w:ascii="Times New Roman" w:hAnsi="Times New Roman" w:cs="Times New Roman"/>
          <w:sz w:val="24"/>
          <w:szCs w:val="24"/>
        </w:rPr>
        <w:t xml:space="preserve"> </w:t>
      </w:r>
      <w:r w:rsidR="001E0110" w:rsidRPr="001E0110">
        <w:rPr>
          <w:rFonts w:ascii="Times New Roman" w:hAnsi="Times New Roman" w:cs="Times New Roman"/>
          <w:sz w:val="24"/>
          <w:szCs w:val="24"/>
        </w:rPr>
        <w:t>10</w:t>
      </w:r>
      <w:r w:rsidR="001E0110" w:rsidRPr="001E0110">
        <w:rPr>
          <w:rFonts w:ascii="Times New Roman" w:hAnsi="Times New Roman" w:cs="Times New Roman"/>
          <w:sz w:val="24"/>
          <w:szCs w:val="24"/>
          <w:vertAlign w:val="superscript"/>
        </w:rPr>
        <w:t>-5</w:t>
      </w:r>
      <w:r w:rsidR="001E0110">
        <w:rPr>
          <w:rFonts w:ascii="Times New Roman" w:hAnsi="Times New Roman" w:cs="Times New Roman"/>
          <w:sz w:val="24"/>
          <w:szCs w:val="24"/>
        </w:rPr>
        <w:t xml:space="preserve"> και σε 5/30 (17%) </w:t>
      </w:r>
      <w:r w:rsidR="001E0110" w:rsidRPr="001E0110">
        <w:rPr>
          <w:rFonts w:ascii="Times New Roman" w:hAnsi="Times New Roman" w:cs="Times New Roman"/>
          <w:sz w:val="24"/>
          <w:szCs w:val="24"/>
        </w:rPr>
        <w:t>σε επίπεδο 10</w:t>
      </w:r>
      <w:r w:rsidR="001E0110" w:rsidRPr="001E0110">
        <w:rPr>
          <w:rFonts w:ascii="Times New Roman" w:hAnsi="Times New Roman" w:cs="Times New Roman"/>
          <w:sz w:val="24"/>
          <w:szCs w:val="24"/>
          <w:vertAlign w:val="superscript"/>
        </w:rPr>
        <w:t>-6</w:t>
      </w:r>
      <w:r w:rsidR="008220CE">
        <w:rPr>
          <w:rFonts w:ascii="Times New Roman" w:hAnsi="Times New Roman" w:cs="Times New Roman"/>
          <w:sz w:val="24"/>
          <w:szCs w:val="24"/>
        </w:rPr>
        <w:t xml:space="preserve">, και μόνο εφόσον είχε προηγηθεί η συγχώνευση των κυτταρομετρικών δεδομένων από τα δύο ανεξάρτητα </w:t>
      </w:r>
      <w:r w:rsidR="008220CE">
        <w:rPr>
          <w:rFonts w:ascii="Times New Roman" w:hAnsi="Times New Roman" w:cs="Times New Roman"/>
          <w:sz w:val="24"/>
          <w:szCs w:val="24"/>
          <w:lang w:val="en-US"/>
        </w:rPr>
        <w:t>panel</w:t>
      </w:r>
      <w:r w:rsidR="008220CE" w:rsidRPr="008220CE">
        <w:rPr>
          <w:rFonts w:ascii="Times New Roman" w:hAnsi="Times New Roman" w:cs="Times New Roman"/>
          <w:sz w:val="24"/>
          <w:szCs w:val="24"/>
        </w:rPr>
        <w:t xml:space="preserve"> </w:t>
      </w:r>
      <w:r w:rsidR="008220CE">
        <w:rPr>
          <w:rFonts w:ascii="Times New Roman" w:hAnsi="Times New Roman" w:cs="Times New Roman"/>
          <w:sz w:val="24"/>
          <w:szCs w:val="24"/>
        </w:rPr>
        <w:t xml:space="preserve">μέσω του λογισμικού </w:t>
      </w:r>
      <w:r w:rsidR="008220CE">
        <w:rPr>
          <w:rFonts w:ascii="Times New Roman" w:hAnsi="Times New Roman" w:cs="Times New Roman"/>
          <w:sz w:val="24"/>
          <w:szCs w:val="24"/>
          <w:lang w:val="en-US"/>
        </w:rPr>
        <w:t>Infinicyt</w:t>
      </w:r>
      <w:r w:rsidR="008220CE" w:rsidRPr="008220CE">
        <w:rPr>
          <w:rFonts w:ascii="Times New Roman" w:hAnsi="Times New Roman" w:cs="Times New Roman"/>
          <w:sz w:val="24"/>
          <w:szCs w:val="24"/>
        </w:rPr>
        <w:t>.</w:t>
      </w:r>
      <w:r w:rsidR="001E0110" w:rsidRPr="001E0110">
        <w:rPr>
          <w:rFonts w:ascii="Times New Roman" w:hAnsi="Times New Roman" w:cs="Times New Roman"/>
          <w:sz w:val="24"/>
          <w:szCs w:val="24"/>
        </w:rPr>
        <w:t xml:space="preserve"> </w:t>
      </w:r>
    </w:p>
    <w:p w:rsidR="008220CE" w:rsidRPr="00780A22" w:rsidRDefault="001C3891" w:rsidP="00780A22">
      <w:pPr>
        <w:spacing w:after="0" w:line="360" w:lineRule="auto"/>
        <w:ind w:firstLine="426"/>
        <w:jc w:val="both"/>
        <w:rPr>
          <w:rFonts w:ascii="Times New Roman" w:hAnsi="Times New Roman" w:cs="Times New Roman"/>
          <w:sz w:val="24"/>
          <w:szCs w:val="24"/>
        </w:rPr>
      </w:pPr>
      <w:r w:rsidRPr="001C3891">
        <w:rPr>
          <w:rFonts w:ascii="Times New Roman" w:hAnsi="Times New Roman" w:cs="Times New Roman"/>
          <w:sz w:val="24"/>
          <w:szCs w:val="24"/>
        </w:rPr>
        <w:t>Σε κλινικό επίπεδο, 6/56 (10,8%) ασθενείς έχουν υποτροπιάσει μέχρι σήμερα</w:t>
      </w:r>
      <w:r w:rsidR="008220CE">
        <w:rPr>
          <w:rFonts w:ascii="Times New Roman" w:hAnsi="Times New Roman" w:cs="Times New Roman"/>
          <w:sz w:val="24"/>
          <w:szCs w:val="24"/>
        </w:rPr>
        <w:t xml:space="preserve"> (μέσο διάστημα παρακολούθησης από τη στιγμή της </w:t>
      </w:r>
      <w:r w:rsidR="008220CE">
        <w:rPr>
          <w:rFonts w:ascii="Times New Roman" w:hAnsi="Times New Roman" w:cs="Times New Roman"/>
          <w:sz w:val="24"/>
          <w:szCs w:val="24"/>
          <w:lang w:val="en-US"/>
        </w:rPr>
        <w:t>MRD</w:t>
      </w:r>
      <w:r w:rsidR="008220CE" w:rsidRPr="008220CE">
        <w:rPr>
          <w:rFonts w:ascii="Times New Roman" w:hAnsi="Times New Roman" w:cs="Times New Roman"/>
          <w:sz w:val="24"/>
          <w:szCs w:val="24"/>
        </w:rPr>
        <w:t xml:space="preserve"> </w:t>
      </w:r>
      <w:r w:rsidR="008220CE">
        <w:rPr>
          <w:rFonts w:ascii="Times New Roman" w:hAnsi="Times New Roman" w:cs="Times New Roman"/>
          <w:sz w:val="24"/>
          <w:szCs w:val="24"/>
        </w:rPr>
        <w:t>αξιολόγησης: 6</w:t>
      </w:r>
      <w:r w:rsidR="008220CE" w:rsidRPr="008220CE">
        <w:rPr>
          <w:rFonts w:ascii="Times New Roman" w:hAnsi="Times New Roman" w:cs="Times New Roman"/>
          <w:sz w:val="24"/>
          <w:szCs w:val="24"/>
        </w:rPr>
        <w:t xml:space="preserve"> </w:t>
      </w:r>
      <w:r w:rsidR="008220CE">
        <w:rPr>
          <w:rFonts w:ascii="Times New Roman" w:hAnsi="Times New Roman" w:cs="Times New Roman"/>
          <w:sz w:val="24"/>
          <w:szCs w:val="24"/>
        </w:rPr>
        <w:t>μήνες)</w:t>
      </w:r>
      <w:r w:rsidRPr="001C3891">
        <w:rPr>
          <w:rFonts w:ascii="Times New Roman" w:hAnsi="Times New Roman" w:cs="Times New Roman"/>
          <w:sz w:val="24"/>
          <w:szCs w:val="24"/>
        </w:rPr>
        <w:t xml:space="preserve"> και σε όλες τις περιπτώ</w:t>
      </w:r>
      <w:r>
        <w:rPr>
          <w:rFonts w:ascii="Times New Roman" w:hAnsi="Times New Roman" w:cs="Times New Roman"/>
          <w:sz w:val="24"/>
          <w:szCs w:val="24"/>
        </w:rPr>
        <w:t xml:space="preserve">σεις </w:t>
      </w:r>
      <w:r w:rsidR="008220CE">
        <w:rPr>
          <w:rFonts w:ascii="Times New Roman" w:hAnsi="Times New Roman" w:cs="Times New Roman"/>
          <w:sz w:val="24"/>
          <w:szCs w:val="24"/>
        </w:rPr>
        <w:t xml:space="preserve">αυτές </w:t>
      </w:r>
      <w:r>
        <w:rPr>
          <w:rFonts w:ascii="Times New Roman" w:hAnsi="Times New Roman" w:cs="Times New Roman"/>
          <w:sz w:val="24"/>
          <w:szCs w:val="24"/>
        </w:rPr>
        <w:t>διαπιστώθηκε η παρουσία</w:t>
      </w:r>
      <w:r w:rsidRPr="001C3891">
        <w:rPr>
          <w:rFonts w:ascii="Times New Roman" w:hAnsi="Times New Roman" w:cs="Times New Roman"/>
          <w:sz w:val="24"/>
          <w:szCs w:val="24"/>
        </w:rPr>
        <w:t xml:space="preserve"> </w:t>
      </w:r>
      <w:r>
        <w:rPr>
          <w:rFonts w:ascii="Times New Roman" w:hAnsi="Times New Roman" w:cs="Times New Roman"/>
          <w:sz w:val="24"/>
          <w:szCs w:val="24"/>
          <w:lang w:val="en-US"/>
        </w:rPr>
        <w:t>MRD</w:t>
      </w:r>
      <w:r w:rsidRPr="001C3891">
        <w:rPr>
          <w:rFonts w:ascii="Times New Roman" w:hAnsi="Times New Roman" w:cs="Times New Roman"/>
          <w:sz w:val="24"/>
          <w:szCs w:val="24"/>
        </w:rPr>
        <w:t xml:space="preserve">. Παρά τον σχετικά μικρό αριθμό των περιπτώσεων αυτών για ισχυρές στατιστικές συσχετίσεις, η εφαρμογή των μοντέλων κινδύνου έδειξε ένα σημαντικά αυξημένο κίνδυνο υποτροπής στους </w:t>
      </w:r>
      <w:r>
        <w:rPr>
          <w:rFonts w:ascii="Times New Roman" w:hAnsi="Times New Roman" w:cs="Times New Roman"/>
          <w:sz w:val="24"/>
          <w:szCs w:val="24"/>
          <w:lang w:val="en-US"/>
        </w:rPr>
        <w:t>MRD</w:t>
      </w:r>
      <w:r w:rsidRPr="001C3891">
        <w:rPr>
          <w:rFonts w:ascii="Times New Roman" w:hAnsi="Times New Roman" w:cs="Times New Roman"/>
          <w:sz w:val="24"/>
          <w:szCs w:val="24"/>
        </w:rPr>
        <w:t xml:space="preserve">+ ασθενείς, περίπου 7 φορές </w:t>
      </w:r>
      <w:r w:rsidR="008220CE">
        <w:rPr>
          <w:rFonts w:ascii="Times New Roman" w:hAnsi="Times New Roman" w:cs="Times New Roman"/>
          <w:sz w:val="24"/>
          <w:szCs w:val="24"/>
        </w:rPr>
        <w:t xml:space="preserve">πιο υψηλό </w:t>
      </w:r>
      <w:r w:rsidRPr="001C3891">
        <w:rPr>
          <w:rFonts w:ascii="Times New Roman" w:hAnsi="Times New Roman" w:cs="Times New Roman"/>
          <w:sz w:val="24"/>
          <w:szCs w:val="24"/>
        </w:rPr>
        <w:t>από τον αντίστοιχο</w:t>
      </w:r>
      <w:r>
        <w:rPr>
          <w:rFonts w:ascii="Times New Roman" w:hAnsi="Times New Roman" w:cs="Times New Roman"/>
          <w:sz w:val="24"/>
          <w:szCs w:val="24"/>
        </w:rPr>
        <w:t xml:space="preserve"> κίνδυνο υποτροπής </w:t>
      </w:r>
      <w:r w:rsidR="008220CE">
        <w:rPr>
          <w:rFonts w:ascii="Times New Roman" w:hAnsi="Times New Roman" w:cs="Times New Roman"/>
          <w:sz w:val="24"/>
          <w:szCs w:val="24"/>
        </w:rPr>
        <w:t xml:space="preserve">που εμφάνισαν οι </w:t>
      </w:r>
      <w:r>
        <w:rPr>
          <w:rFonts w:ascii="Times New Roman" w:hAnsi="Times New Roman" w:cs="Times New Roman"/>
          <w:sz w:val="24"/>
          <w:szCs w:val="24"/>
          <w:lang w:val="en-US"/>
        </w:rPr>
        <w:t>MRD</w:t>
      </w:r>
      <w:r w:rsidRPr="001C3891">
        <w:rPr>
          <w:rFonts w:ascii="Times New Roman" w:hAnsi="Times New Roman" w:cs="Times New Roman"/>
          <w:sz w:val="24"/>
          <w:szCs w:val="24"/>
        </w:rPr>
        <w:t>- ασθενείς (HR: 7,15</w:t>
      </w:r>
      <w:r>
        <w:rPr>
          <w:rFonts w:ascii="Times New Roman" w:hAnsi="Times New Roman" w:cs="Times New Roman"/>
          <w:sz w:val="24"/>
          <w:szCs w:val="24"/>
        </w:rPr>
        <w:t xml:space="preserve">, 95% CI: 1,44-35,6 για τους </w:t>
      </w:r>
      <w:r>
        <w:rPr>
          <w:rFonts w:ascii="Times New Roman" w:hAnsi="Times New Roman" w:cs="Times New Roman"/>
          <w:sz w:val="24"/>
          <w:szCs w:val="24"/>
          <w:lang w:val="en-US"/>
        </w:rPr>
        <w:t>MRD</w:t>
      </w:r>
      <w:r w:rsidRPr="001C3891">
        <w:rPr>
          <w:rFonts w:ascii="Times New Roman" w:hAnsi="Times New Roman" w:cs="Times New Roman"/>
          <w:sz w:val="24"/>
          <w:szCs w:val="24"/>
        </w:rPr>
        <w:t xml:space="preserve">+ ασθενείς έναντι HR: 0,14, 95% CI: 0,03-0,69 για τους </w:t>
      </w:r>
      <w:r>
        <w:rPr>
          <w:rFonts w:ascii="Times New Roman" w:hAnsi="Times New Roman" w:cs="Times New Roman"/>
          <w:sz w:val="24"/>
          <w:szCs w:val="24"/>
          <w:lang w:val="en-US"/>
        </w:rPr>
        <w:t>MRD</w:t>
      </w:r>
      <w:r w:rsidRPr="001C3891">
        <w:rPr>
          <w:rFonts w:ascii="Times New Roman" w:hAnsi="Times New Roman" w:cs="Times New Roman"/>
          <w:sz w:val="24"/>
          <w:szCs w:val="24"/>
        </w:rPr>
        <w:t>-</w:t>
      </w:r>
      <w:r>
        <w:rPr>
          <w:rFonts w:ascii="Times New Roman" w:hAnsi="Times New Roman" w:cs="Times New Roman"/>
          <w:sz w:val="24"/>
          <w:szCs w:val="24"/>
        </w:rPr>
        <w:t xml:space="preserve"> ασθενείς, p=0,016, </w:t>
      </w:r>
      <w:r w:rsidRPr="001C3891">
        <w:rPr>
          <w:rFonts w:ascii="Times New Roman" w:hAnsi="Times New Roman" w:cs="Times New Roman"/>
          <w:b/>
          <w:sz w:val="24"/>
          <w:szCs w:val="24"/>
        </w:rPr>
        <w:t>Εικόνα 2</w:t>
      </w:r>
      <w:r w:rsidRPr="001C3891">
        <w:rPr>
          <w:rFonts w:ascii="Times New Roman" w:hAnsi="Times New Roman" w:cs="Times New Roman"/>
          <w:sz w:val="24"/>
          <w:szCs w:val="24"/>
        </w:rPr>
        <w:t>).</w:t>
      </w:r>
    </w:p>
    <w:p w:rsidR="00C10648" w:rsidRPr="008220CE" w:rsidRDefault="008220CE" w:rsidP="008220CE">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4371975" cy="3707178"/>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2.png"/>
                    <pic:cNvPicPr/>
                  </pic:nvPicPr>
                  <pic:blipFill>
                    <a:blip r:embed="rId7">
                      <a:extLst>
                        <a:ext uri="{28A0092B-C50C-407E-A947-70E740481C1C}">
                          <a14:useLocalDpi xmlns:a14="http://schemas.microsoft.com/office/drawing/2010/main" val="0"/>
                        </a:ext>
                      </a:extLst>
                    </a:blip>
                    <a:stretch>
                      <a:fillRect/>
                    </a:stretch>
                  </pic:blipFill>
                  <pic:spPr>
                    <a:xfrm>
                      <a:off x="0" y="0"/>
                      <a:ext cx="4369871" cy="3705394"/>
                    </a:xfrm>
                    <a:prstGeom prst="rect">
                      <a:avLst/>
                    </a:prstGeom>
                  </pic:spPr>
                </pic:pic>
              </a:graphicData>
            </a:graphic>
          </wp:inline>
        </w:drawing>
      </w:r>
    </w:p>
    <w:p w:rsidR="00E9528A" w:rsidRPr="00CC360F" w:rsidRDefault="008220CE" w:rsidP="00E9528A">
      <w:pPr>
        <w:pStyle w:val="Web"/>
        <w:spacing w:before="0" w:beforeAutospacing="0" w:after="0" w:afterAutospacing="0" w:line="276" w:lineRule="auto"/>
        <w:ind w:left="426"/>
        <w:jc w:val="both"/>
        <w:rPr>
          <w:rFonts w:asciiTheme="minorHAnsi" w:eastAsiaTheme="minorEastAsia" w:hAnsi="Calibri" w:cstheme="minorBidi"/>
          <w:i/>
          <w:iCs/>
          <w:color w:val="000000" w:themeColor="text1"/>
          <w:kern w:val="24"/>
        </w:rPr>
      </w:pPr>
      <w:r>
        <w:rPr>
          <w:rFonts w:asciiTheme="minorHAnsi" w:eastAsiaTheme="minorEastAsia" w:hAnsi="Calibri" w:cstheme="minorBidi"/>
          <w:b/>
          <w:bCs/>
          <w:i/>
          <w:iCs/>
          <w:color w:val="000000" w:themeColor="text1"/>
          <w:kern w:val="24"/>
        </w:rPr>
        <w:t xml:space="preserve">Εικόνα </w:t>
      </w:r>
      <w:r w:rsidRPr="008220CE">
        <w:rPr>
          <w:rFonts w:asciiTheme="minorHAnsi" w:eastAsiaTheme="minorEastAsia" w:hAnsi="Calibri" w:cstheme="minorBidi"/>
          <w:b/>
          <w:bCs/>
          <w:i/>
          <w:iCs/>
          <w:color w:val="000000" w:themeColor="text1"/>
          <w:kern w:val="24"/>
        </w:rPr>
        <w:t>2:</w:t>
      </w:r>
      <w:r w:rsidRPr="008220CE">
        <w:rPr>
          <w:rFonts w:asciiTheme="minorHAnsi" w:eastAsiaTheme="minorEastAsia" w:hAnsi="Calibri" w:cstheme="minorBidi"/>
          <w:i/>
          <w:iCs/>
          <w:color w:val="000000" w:themeColor="text1"/>
          <w:kern w:val="24"/>
        </w:rPr>
        <w:t xml:space="preserve"> </w:t>
      </w:r>
      <w:r>
        <w:rPr>
          <w:rFonts w:asciiTheme="minorHAnsi" w:eastAsiaTheme="minorEastAsia" w:hAnsi="Calibri" w:cstheme="minorBidi"/>
          <w:i/>
          <w:iCs/>
          <w:color w:val="000000" w:themeColor="text1"/>
          <w:kern w:val="24"/>
        </w:rPr>
        <w:t xml:space="preserve">Διάστημα χωρίς πρόοδο νόσου για τους ασθενείς σε παρατεταμένη </w:t>
      </w:r>
    </w:p>
    <w:p w:rsidR="008220CE" w:rsidRPr="00E9528A" w:rsidRDefault="008220CE" w:rsidP="00E9528A">
      <w:pPr>
        <w:pStyle w:val="Web"/>
        <w:spacing w:before="0" w:beforeAutospacing="0" w:after="0" w:afterAutospacing="0" w:line="276" w:lineRule="auto"/>
        <w:ind w:left="426"/>
        <w:jc w:val="both"/>
      </w:pPr>
      <w:r>
        <w:rPr>
          <w:rFonts w:asciiTheme="minorHAnsi" w:eastAsiaTheme="minorEastAsia" w:hAnsi="Calibri" w:cstheme="minorBidi"/>
          <w:i/>
          <w:iCs/>
          <w:color w:val="000000" w:themeColor="text1"/>
          <w:kern w:val="24"/>
        </w:rPr>
        <w:t xml:space="preserve">πλήρη ύφεση συναρτήσει της παρουσίας (+) ή απουσίας (-) της </w:t>
      </w:r>
      <w:r w:rsidR="00E9528A">
        <w:rPr>
          <w:rFonts w:asciiTheme="minorHAnsi" w:eastAsiaTheme="minorEastAsia" w:hAnsi="Calibri" w:cstheme="minorBidi"/>
          <w:i/>
          <w:iCs/>
          <w:color w:val="000000" w:themeColor="text1"/>
          <w:kern w:val="24"/>
          <w:lang w:val="en-US"/>
        </w:rPr>
        <w:t>MRD</w:t>
      </w:r>
    </w:p>
    <w:p w:rsidR="00C32987" w:rsidRPr="007B324A" w:rsidRDefault="007B324A" w:rsidP="007B324A">
      <w:pPr>
        <w:spacing w:after="0" w:line="480" w:lineRule="auto"/>
        <w:jc w:val="center"/>
        <w:rPr>
          <w:rFonts w:ascii="Arial" w:hAnsi="Arial" w:cs="Arial"/>
          <w:b/>
          <w:sz w:val="24"/>
          <w:szCs w:val="24"/>
        </w:rPr>
      </w:pPr>
      <w:r>
        <w:rPr>
          <w:rFonts w:ascii="Arial" w:hAnsi="Arial" w:cs="Arial"/>
          <w:b/>
          <w:sz w:val="24"/>
          <w:szCs w:val="24"/>
        </w:rPr>
        <w:lastRenderedPageBreak/>
        <w:t xml:space="preserve">Συσχέτιση της </w:t>
      </w:r>
      <w:r>
        <w:rPr>
          <w:rFonts w:ascii="Arial" w:hAnsi="Arial" w:cs="Arial"/>
          <w:b/>
          <w:sz w:val="24"/>
          <w:szCs w:val="24"/>
          <w:lang w:val="en-US"/>
        </w:rPr>
        <w:t>MRD</w:t>
      </w:r>
      <w:r w:rsidRPr="007B324A">
        <w:rPr>
          <w:rFonts w:ascii="Arial" w:hAnsi="Arial" w:cs="Arial"/>
          <w:b/>
          <w:sz w:val="24"/>
          <w:szCs w:val="24"/>
        </w:rPr>
        <w:t xml:space="preserve"> </w:t>
      </w:r>
      <w:r>
        <w:rPr>
          <w:rFonts w:ascii="Arial" w:hAnsi="Arial" w:cs="Arial"/>
          <w:b/>
          <w:sz w:val="24"/>
          <w:szCs w:val="24"/>
        </w:rPr>
        <w:t>με άλλες προγνωστικές παραμέτρους</w:t>
      </w:r>
    </w:p>
    <w:p w:rsidR="00C32987" w:rsidRPr="00E9528A" w:rsidRDefault="00023B24" w:rsidP="0078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Όσον αφορά τον έλεγχο ανεξαρτησίας της </w:t>
      </w:r>
      <w:r w:rsidR="00E9528A">
        <w:rPr>
          <w:rFonts w:ascii="Times New Roman" w:hAnsi="Times New Roman" w:cs="Times New Roman"/>
          <w:sz w:val="24"/>
          <w:szCs w:val="24"/>
          <w:lang w:val="en-US"/>
        </w:rPr>
        <w:t>MRD</w:t>
      </w:r>
      <w:r>
        <w:rPr>
          <w:rFonts w:ascii="Times New Roman" w:hAnsi="Times New Roman" w:cs="Times New Roman"/>
          <w:sz w:val="24"/>
          <w:szCs w:val="24"/>
        </w:rPr>
        <w:t xml:space="preserve">, οι αναλύσεις μας δεν </w:t>
      </w:r>
      <w:r w:rsidR="00E9528A">
        <w:rPr>
          <w:rFonts w:ascii="Times New Roman" w:hAnsi="Times New Roman" w:cs="Times New Roman"/>
          <w:sz w:val="24"/>
          <w:szCs w:val="24"/>
        </w:rPr>
        <w:t xml:space="preserve">έδειξαν κάποια </w:t>
      </w:r>
      <w:r w:rsidR="00E9528A" w:rsidRPr="007B324A">
        <w:rPr>
          <w:rFonts w:ascii="Times New Roman" w:hAnsi="Times New Roman" w:cs="Times New Roman"/>
          <w:sz w:val="24"/>
          <w:szCs w:val="24"/>
        </w:rPr>
        <w:t xml:space="preserve">σημαντική συσχέτιση </w:t>
      </w:r>
      <w:r w:rsidRPr="007B324A">
        <w:rPr>
          <w:rFonts w:ascii="Times New Roman" w:hAnsi="Times New Roman" w:cs="Times New Roman"/>
          <w:sz w:val="24"/>
          <w:szCs w:val="24"/>
        </w:rPr>
        <w:t xml:space="preserve">μεταξύ της </w:t>
      </w:r>
      <w:r w:rsidRPr="007B324A">
        <w:rPr>
          <w:rFonts w:ascii="Times New Roman" w:hAnsi="Times New Roman" w:cs="Times New Roman"/>
          <w:sz w:val="24"/>
          <w:szCs w:val="24"/>
          <w:lang w:val="en-US"/>
        </w:rPr>
        <w:t>MRD</w:t>
      </w:r>
      <w:r w:rsidRPr="007B324A">
        <w:rPr>
          <w:rFonts w:ascii="Times New Roman" w:hAnsi="Times New Roman" w:cs="Times New Roman"/>
          <w:sz w:val="24"/>
          <w:szCs w:val="24"/>
        </w:rPr>
        <w:t xml:space="preserve"> και </w:t>
      </w:r>
      <w:r w:rsidR="00C32987" w:rsidRPr="007B324A">
        <w:rPr>
          <w:rFonts w:ascii="Times New Roman" w:hAnsi="Times New Roman" w:cs="Times New Roman"/>
          <w:sz w:val="24"/>
          <w:szCs w:val="24"/>
        </w:rPr>
        <w:t>της δι</w:t>
      </w:r>
      <w:r w:rsidRPr="007B324A">
        <w:rPr>
          <w:rFonts w:ascii="Times New Roman" w:hAnsi="Times New Roman" w:cs="Times New Roman"/>
          <w:sz w:val="24"/>
          <w:szCs w:val="24"/>
        </w:rPr>
        <w:t>άρκειας παραμονής σε πλήρη ύφεση</w:t>
      </w:r>
      <w:r w:rsidR="00C32987" w:rsidRPr="007B324A">
        <w:rPr>
          <w:rFonts w:ascii="Times New Roman" w:hAnsi="Times New Roman" w:cs="Times New Roman"/>
          <w:sz w:val="24"/>
          <w:szCs w:val="24"/>
        </w:rPr>
        <w:t xml:space="preserve"> </w:t>
      </w:r>
      <w:r w:rsidR="00780A22" w:rsidRPr="007B324A">
        <w:rPr>
          <w:rFonts w:ascii="Times New Roman" w:hAnsi="Times New Roman" w:cs="Times New Roman"/>
          <w:sz w:val="24"/>
          <w:szCs w:val="24"/>
        </w:rPr>
        <w:t xml:space="preserve">(διάμεση μέση τιμή: 62,5 </w:t>
      </w:r>
      <w:r w:rsidR="007B324A">
        <w:rPr>
          <w:rFonts w:ascii="Times New Roman" w:hAnsi="Times New Roman" w:cs="Times New Roman"/>
          <w:sz w:val="24"/>
          <w:szCs w:val="24"/>
        </w:rPr>
        <w:t xml:space="preserve">μήνες στους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w:t>
      </w:r>
      <w:r w:rsidR="00780A22" w:rsidRPr="007B324A">
        <w:rPr>
          <w:rFonts w:ascii="Times New Roman" w:hAnsi="Times New Roman" w:cs="Times New Roman"/>
          <w:sz w:val="24"/>
          <w:szCs w:val="24"/>
        </w:rPr>
        <w:t xml:space="preserve"> και 58,5 </w:t>
      </w:r>
      <w:r w:rsidR="007B324A">
        <w:rPr>
          <w:rFonts w:ascii="Times New Roman" w:hAnsi="Times New Roman" w:cs="Times New Roman"/>
          <w:sz w:val="24"/>
          <w:szCs w:val="24"/>
        </w:rPr>
        <w:t xml:space="preserve">μήνες στους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w:t>
      </w:r>
      <w:r w:rsidR="00780A22" w:rsidRPr="007B324A">
        <w:rPr>
          <w:rFonts w:ascii="Times New Roman" w:hAnsi="Times New Roman" w:cs="Times New Roman"/>
          <w:sz w:val="24"/>
          <w:szCs w:val="24"/>
        </w:rPr>
        <w:t xml:space="preserve"> ασθενείς) </w:t>
      </w:r>
      <w:r w:rsidR="00C32987" w:rsidRPr="007B324A">
        <w:rPr>
          <w:rFonts w:ascii="Times New Roman" w:hAnsi="Times New Roman" w:cs="Times New Roman"/>
          <w:sz w:val="24"/>
          <w:szCs w:val="24"/>
        </w:rPr>
        <w:t>ή κάποιας κλινικής παραμέτρου κατά τη διάγνωση όπως η ηλικία,</w:t>
      </w:r>
      <w:r w:rsidRPr="007B324A">
        <w:rPr>
          <w:rFonts w:ascii="Times New Roman" w:hAnsi="Times New Roman" w:cs="Times New Roman"/>
          <w:sz w:val="24"/>
          <w:szCs w:val="24"/>
        </w:rPr>
        <w:t xml:space="preserve"> το φύλο, ο αριθμ</w:t>
      </w:r>
      <w:r w:rsidR="00780A22" w:rsidRPr="007B324A">
        <w:rPr>
          <w:rFonts w:ascii="Times New Roman" w:hAnsi="Times New Roman" w:cs="Times New Roman"/>
          <w:sz w:val="24"/>
          <w:szCs w:val="24"/>
        </w:rPr>
        <w:t>ός των λευκοκυττάρων</w:t>
      </w:r>
      <w:r w:rsidR="00C32987" w:rsidRPr="007B324A">
        <w:rPr>
          <w:rFonts w:ascii="Times New Roman" w:hAnsi="Times New Roman" w:cs="Times New Roman"/>
          <w:sz w:val="24"/>
          <w:szCs w:val="24"/>
        </w:rPr>
        <w:t>, το είδος της βαριάς ή ελαφριάς αλυσ</w:t>
      </w:r>
      <w:r w:rsidRPr="007B324A">
        <w:rPr>
          <w:rFonts w:ascii="Times New Roman" w:hAnsi="Times New Roman" w:cs="Times New Roman"/>
          <w:sz w:val="24"/>
          <w:szCs w:val="24"/>
        </w:rPr>
        <w:t>ίδας, τα επίπεδα κρεατινίνης ή</w:t>
      </w:r>
      <w:r w:rsidR="00C32987" w:rsidRPr="007B324A">
        <w:rPr>
          <w:rFonts w:ascii="Times New Roman" w:hAnsi="Times New Roman" w:cs="Times New Roman"/>
          <w:sz w:val="24"/>
          <w:szCs w:val="24"/>
        </w:rPr>
        <w:t xml:space="preserve"> ασβεστίου</w:t>
      </w:r>
      <w:r w:rsidR="00C32987" w:rsidRPr="00E9528A">
        <w:rPr>
          <w:rFonts w:ascii="Times New Roman" w:hAnsi="Times New Roman" w:cs="Times New Roman"/>
          <w:sz w:val="24"/>
          <w:szCs w:val="24"/>
        </w:rPr>
        <w:t xml:space="preserve"> του ορού, οι τιμές της β-2 μικροσφαιρίνης και της </w:t>
      </w:r>
      <w:r w:rsidR="00C32987" w:rsidRPr="00E9528A">
        <w:rPr>
          <w:rFonts w:ascii="Times New Roman" w:hAnsi="Times New Roman" w:cs="Times New Roman"/>
          <w:sz w:val="24"/>
          <w:szCs w:val="24"/>
          <w:lang w:val="en-US"/>
        </w:rPr>
        <w:t>LDH</w:t>
      </w:r>
      <w:r w:rsidR="00C32987" w:rsidRPr="00E9528A">
        <w:rPr>
          <w:rFonts w:ascii="Times New Roman" w:hAnsi="Times New Roman" w:cs="Times New Roman"/>
          <w:sz w:val="24"/>
          <w:szCs w:val="24"/>
        </w:rPr>
        <w:t xml:space="preserve"> ή η συχνότητας εμφάνισης αναιμίας ή θρομβοπενίας (</w:t>
      </w:r>
      <w:r w:rsidR="00C32987" w:rsidRPr="00E9528A">
        <w:rPr>
          <w:rFonts w:ascii="Times New Roman" w:hAnsi="Times New Roman" w:cs="Times New Roman"/>
          <w:b/>
          <w:sz w:val="24"/>
          <w:szCs w:val="24"/>
        </w:rPr>
        <w:t>Πίνακας 1</w:t>
      </w:r>
      <w:r w:rsidR="00E9528A">
        <w:rPr>
          <w:rFonts w:ascii="Times New Roman" w:hAnsi="Times New Roman" w:cs="Times New Roman"/>
          <w:sz w:val="24"/>
          <w:szCs w:val="24"/>
        </w:rPr>
        <w:t xml:space="preserve">). Στους </w:t>
      </w:r>
      <w:r w:rsidR="00E9528A">
        <w:rPr>
          <w:rFonts w:ascii="Times New Roman" w:hAnsi="Times New Roman" w:cs="Times New Roman"/>
          <w:sz w:val="24"/>
          <w:szCs w:val="24"/>
          <w:lang w:val="en-US"/>
        </w:rPr>
        <w:t>MRD</w:t>
      </w:r>
      <w:r w:rsidR="00C32987" w:rsidRPr="00E9528A">
        <w:rPr>
          <w:rFonts w:ascii="Times New Roman" w:hAnsi="Times New Roman" w:cs="Times New Roman"/>
          <w:sz w:val="24"/>
          <w:szCs w:val="24"/>
        </w:rPr>
        <w:t xml:space="preserve">+ ασθενείς παρατηρήθηκε μία τάση συσχέτισής της με μεγαλύτερο βαθμό διήθησης του μυελού κατά τη διάγνωση, αλλά τα αποτελέσματα αυτά δεν ήταν στατιστικά σημαντικά. </w:t>
      </w:r>
    </w:p>
    <w:p w:rsidR="00C32987" w:rsidRPr="00E9528A" w:rsidRDefault="00C32987" w:rsidP="00780A22">
      <w:pPr>
        <w:spacing w:after="0" w:line="360" w:lineRule="auto"/>
        <w:ind w:firstLine="426"/>
        <w:jc w:val="both"/>
        <w:rPr>
          <w:rFonts w:ascii="Times New Roman" w:hAnsi="Times New Roman" w:cs="Times New Roman"/>
          <w:sz w:val="24"/>
          <w:szCs w:val="24"/>
        </w:rPr>
      </w:pPr>
      <w:r w:rsidRPr="00E9528A">
        <w:rPr>
          <w:rFonts w:ascii="Times New Roman" w:hAnsi="Times New Roman" w:cs="Times New Roman"/>
          <w:sz w:val="24"/>
          <w:szCs w:val="24"/>
        </w:rPr>
        <w:t>Ενδιαφέρουσα είναι και</w:t>
      </w:r>
      <w:r w:rsidR="007B324A">
        <w:rPr>
          <w:rFonts w:ascii="Times New Roman" w:hAnsi="Times New Roman" w:cs="Times New Roman"/>
          <w:sz w:val="24"/>
          <w:szCs w:val="24"/>
        </w:rPr>
        <w:t xml:space="preserve"> η απουσία συσχέτισης μεταξύ </w:t>
      </w:r>
      <w:r w:rsidR="007B324A">
        <w:rPr>
          <w:rFonts w:ascii="Times New Roman" w:hAnsi="Times New Roman" w:cs="Times New Roman"/>
          <w:sz w:val="24"/>
          <w:szCs w:val="24"/>
          <w:lang w:val="en-US"/>
        </w:rPr>
        <w:t>MRD</w:t>
      </w:r>
      <w:r w:rsidRPr="00E9528A">
        <w:rPr>
          <w:rFonts w:ascii="Times New Roman" w:hAnsi="Times New Roman" w:cs="Times New Roman"/>
          <w:sz w:val="24"/>
          <w:szCs w:val="24"/>
        </w:rPr>
        <w:t xml:space="preserve"> και του κλινικού σταδίου </w:t>
      </w:r>
      <w:r w:rsidRPr="00E9528A">
        <w:rPr>
          <w:rFonts w:ascii="Times New Roman" w:hAnsi="Times New Roman" w:cs="Times New Roman"/>
          <w:sz w:val="24"/>
          <w:szCs w:val="24"/>
          <w:lang w:val="en-US"/>
        </w:rPr>
        <w:t>ISS</w:t>
      </w:r>
      <w:r w:rsidRPr="00E9528A">
        <w:rPr>
          <w:rFonts w:ascii="Times New Roman" w:hAnsi="Times New Roman" w:cs="Times New Roman"/>
          <w:sz w:val="24"/>
          <w:szCs w:val="24"/>
        </w:rPr>
        <w:t xml:space="preserve"> ή του κυτταρογενετικού προφίλ των ασθενών. </w:t>
      </w:r>
      <w:r w:rsidR="007B324A" w:rsidRPr="007B324A">
        <w:rPr>
          <w:rFonts w:ascii="Times New Roman" w:hAnsi="Times New Roman" w:cs="Times New Roman"/>
          <w:sz w:val="24"/>
          <w:szCs w:val="24"/>
        </w:rPr>
        <w:t xml:space="preserve">Θα πρέπει να αναφερθεί στο σημείο αυτό, ότι στο σύνολο των 56 ασθενών ένα πολύ μικρό ποσοστό (19% των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 xml:space="preserve">- και 20% των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 ασθενών) είχε ατυπίες υψηλού κινδύνου [</w:t>
      </w:r>
      <w:r w:rsidR="007B324A" w:rsidRPr="007B324A">
        <w:rPr>
          <w:rFonts w:ascii="Times New Roman" w:hAnsi="Times New Roman" w:cs="Times New Roman"/>
          <w:sz w:val="24"/>
          <w:szCs w:val="24"/>
          <w:lang w:val="en-US"/>
        </w:rPr>
        <w:t>del</w:t>
      </w:r>
      <w:r w:rsidR="007B324A" w:rsidRPr="007B324A">
        <w:rPr>
          <w:rFonts w:ascii="Times New Roman" w:hAnsi="Times New Roman" w:cs="Times New Roman"/>
          <w:sz w:val="24"/>
          <w:szCs w:val="24"/>
        </w:rPr>
        <w:t>17</w:t>
      </w:r>
      <w:r w:rsidR="007B324A" w:rsidRPr="007B324A">
        <w:rPr>
          <w:rFonts w:ascii="Times New Roman" w:hAnsi="Times New Roman" w:cs="Times New Roman"/>
          <w:sz w:val="24"/>
          <w:szCs w:val="24"/>
          <w:lang w:val="en-US"/>
        </w:rPr>
        <w:t>p</w:t>
      </w:r>
      <w:r w:rsidR="007B324A" w:rsidRPr="007B324A">
        <w:rPr>
          <w:rFonts w:ascii="Times New Roman" w:hAnsi="Times New Roman" w:cs="Times New Roman"/>
          <w:sz w:val="24"/>
          <w:szCs w:val="24"/>
        </w:rPr>
        <w:t xml:space="preserve">, </w:t>
      </w:r>
      <w:r w:rsidR="007B324A" w:rsidRPr="007B324A">
        <w:rPr>
          <w:rFonts w:ascii="Times New Roman" w:hAnsi="Times New Roman" w:cs="Times New Roman"/>
          <w:sz w:val="24"/>
          <w:szCs w:val="24"/>
          <w:lang w:val="en-US"/>
        </w:rPr>
        <w:t>t</w:t>
      </w:r>
      <w:r w:rsidR="007B324A" w:rsidRPr="007B324A">
        <w:rPr>
          <w:rFonts w:ascii="Times New Roman" w:hAnsi="Times New Roman" w:cs="Times New Roman"/>
          <w:sz w:val="24"/>
          <w:szCs w:val="24"/>
        </w:rPr>
        <w:t xml:space="preserve">(4;14) ή </w:t>
      </w:r>
      <w:r w:rsidR="007B324A" w:rsidRPr="007B324A">
        <w:rPr>
          <w:rFonts w:ascii="Times New Roman" w:hAnsi="Times New Roman" w:cs="Times New Roman"/>
          <w:sz w:val="24"/>
          <w:szCs w:val="24"/>
          <w:lang w:val="en-US"/>
        </w:rPr>
        <w:t>t</w:t>
      </w:r>
      <w:r w:rsidR="007B324A" w:rsidRPr="007B324A">
        <w:rPr>
          <w:rFonts w:ascii="Times New Roman" w:hAnsi="Times New Roman" w:cs="Times New Roman"/>
          <w:sz w:val="24"/>
          <w:szCs w:val="24"/>
        </w:rPr>
        <w:t xml:space="preserve">(14;16)], πιθανότατα λόγω της αδυναμίας των ασθενών αυτών να επιτύχουν μακροχρόνιες υφέσεις. Σημειώνεται ακόμα, ότι κανένας από τους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w:t>
      </w:r>
      <w:r w:rsidR="007B324A" w:rsidRPr="007B324A">
        <w:rPr>
          <w:rFonts w:ascii="Times New Roman" w:hAnsi="Times New Roman" w:cs="Times New Roman"/>
          <w:sz w:val="24"/>
          <w:szCs w:val="24"/>
          <w:vertAlign w:val="superscript"/>
        </w:rPr>
        <w:t xml:space="preserve"> </w:t>
      </w:r>
      <w:r w:rsidR="007B324A" w:rsidRPr="007B324A">
        <w:rPr>
          <w:rFonts w:ascii="Times New Roman" w:hAnsi="Times New Roman" w:cs="Times New Roman"/>
          <w:sz w:val="24"/>
          <w:szCs w:val="24"/>
        </w:rPr>
        <w:t>ασθενείς με υψηλού κινδύνου ατυπίες δεν έχει υποτροπιάσει μέχρι σήμερα, γεγονός που υποστηρίζει την ανεξάρτητη π</w:t>
      </w:r>
      <w:r w:rsidR="007B324A">
        <w:rPr>
          <w:rFonts w:ascii="Times New Roman" w:hAnsi="Times New Roman" w:cs="Times New Roman"/>
          <w:sz w:val="24"/>
          <w:szCs w:val="24"/>
        </w:rPr>
        <w:t xml:space="preserve">ρογνωστική αξία της απουσίας </w:t>
      </w:r>
      <w:r w:rsidR="007B324A">
        <w:rPr>
          <w:rFonts w:ascii="Times New Roman" w:hAnsi="Times New Roman" w:cs="Times New Roman"/>
          <w:sz w:val="24"/>
          <w:szCs w:val="24"/>
          <w:lang w:val="en-US"/>
        </w:rPr>
        <w:t>MRD</w:t>
      </w:r>
      <w:r w:rsidR="007B324A" w:rsidRPr="007B324A">
        <w:rPr>
          <w:rFonts w:ascii="Times New Roman" w:hAnsi="Times New Roman" w:cs="Times New Roman"/>
          <w:sz w:val="24"/>
          <w:szCs w:val="24"/>
        </w:rPr>
        <w:t xml:space="preserve"> ως προς την έκβαση της νόσου. </w:t>
      </w:r>
      <w:r w:rsidRPr="00E9528A">
        <w:rPr>
          <w:rFonts w:ascii="Times New Roman" w:hAnsi="Times New Roman" w:cs="Times New Roman"/>
          <w:sz w:val="24"/>
          <w:szCs w:val="24"/>
        </w:rPr>
        <w:t>Όσον αφορά το είδος της θεραπείας, δε διαπιστώθηκε κάποια συσχέτιση μεταξύ της επιλογής της 1</w:t>
      </w:r>
      <w:r w:rsidRPr="00E9528A">
        <w:rPr>
          <w:rFonts w:ascii="Times New Roman" w:hAnsi="Times New Roman" w:cs="Times New Roman"/>
          <w:sz w:val="24"/>
          <w:szCs w:val="24"/>
          <w:vertAlign w:val="superscript"/>
        </w:rPr>
        <w:t>ης</w:t>
      </w:r>
      <w:r w:rsidRPr="00E9528A">
        <w:rPr>
          <w:rFonts w:ascii="Times New Roman" w:hAnsi="Times New Roman" w:cs="Times New Roman"/>
          <w:sz w:val="24"/>
          <w:szCs w:val="24"/>
        </w:rPr>
        <w:t xml:space="preserve"> γραμμής θεραπείας (</w:t>
      </w:r>
      <w:r w:rsidRPr="00E9528A">
        <w:rPr>
          <w:rFonts w:ascii="Times New Roman" w:hAnsi="Times New Roman" w:cs="Times New Roman"/>
          <w:sz w:val="24"/>
          <w:szCs w:val="24"/>
          <w:lang w:val="en-US"/>
        </w:rPr>
        <w:t>PI</w:t>
      </w:r>
      <w:r w:rsidRPr="00E9528A">
        <w:rPr>
          <w:rFonts w:ascii="Times New Roman" w:hAnsi="Times New Roman" w:cs="Times New Roman"/>
          <w:sz w:val="24"/>
          <w:szCs w:val="24"/>
        </w:rPr>
        <w:t xml:space="preserve"> ή </w:t>
      </w:r>
      <w:r w:rsidRPr="00E9528A">
        <w:rPr>
          <w:rFonts w:ascii="Times New Roman" w:hAnsi="Times New Roman" w:cs="Times New Roman"/>
          <w:sz w:val="24"/>
          <w:szCs w:val="24"/>
          <w:lang w:val="en-US"/>
        </w:rPr>
        <w:t>IMiDs</w:t>
      </w:r>
      <w:r w:rsidRPr="00E9528A">
        <w:rPr>
          <w:rFonts w:ascii="Times New Roman" w:hAnsi="Times New Roman" w:cs="Times New Roman"/>
          <w:sz w:val="24"/>
          <w:szCs w:val="24"/>
        </w:rPr>
        <w:t xml:space="preserve"> ή συνδυασμός αυτών) και τη</w:t>
      </w:r>
      <w:r w:rsidR="007B324A">
        <w:rPr>
          <w:rFonts w:ascii="Times New Roman" w:hAnsi="Times New Roman" w:cs="Times New Roman"/>
          <w:sz w:val="24"/>
          <w:szCs w:val="24"/>
        </w:rPr>
        <w:t xml:space="preserve">ς παρουσίας (ή απουσίας) της </w:t>
      </w:r>
      <w:r w:rsidR="007B324A">
        <w:rPr>
          <w:rFonts w:ascii="Times New Roman" w:hAnsi="Times New Roman" w:cs="Times New Roman"/>
          <w:sz w:val="24"/>
          <w:szCs w:val="24"/>
          <w:lang w:val="en-US"/>
        </w:rPr>
        <w:t>MRD</w:t>
      </w:r>
      <w:r w:rsidRPr="00E9528A">
        <w:rPr>
          <w:rFonts w:ascii="Times New Roman" w:hAnsi="Times New Roman" w:cs="Times New Roman"/>
          <w:sz w:val="24"/>
          <w:szCs w:val="24"/>
        </w:rPr>
        <w:t>, ενώ παρό</w:t>
      </w:r>
      <w:r w:rsidR="00173578">
        <w:rPr>
          <w:rFonts w:ascii="Times New Roman" w:hAnsi="Times New Roman" w:cs="Times New Roman"/>
          <w:sz w:val="24"/>
          <w:szCs w:val="24"/>
        </w:rPr>
        <w:t xml:space="preserve">μοιο ήταν και το ποσοστό των </w:t>
      </w:r>
      <w:r w:rsidR="00173578">
        <w:rPr>
          <w:rFonts w:ascii="Times New Roman" w:hAnsi="Times New Roman" w:cs="Times New Roman"/>
          <w:sz w:val="24"/>
          <w:szCs w:val="24"/>
          <w:lang w:val="en-US"/>
        </w:rPr>
        <w:t>MRD</w:t>
      </w:r>
      <w:r w:rsidR="00173578" w:rsidRPr="00173578">
        <w:rPr>
          <w:rFonts w:ascii="Times New Roman" w:hAnsi="Times New Roman" w:cs="Times New Roman"/>
          <w:sz w:val="24"/>
          <w:szCs w:val="24"/>
        </w:rPr>
        <w:t>+</w:t>
      </w:r>
      <w:r w:rsidR="00173578">
        <w:rPr>
          <w:rFonts w:ascii="Times New Roman" w:hAnsi="Times New Roman" w:cs="Times New Roman"/>
          <w:sz w:val="24"/>
          <w:szCs w:val="24"/>
        </w:rPr>
        <w:t xml:space="preserve"> και </w:t>
      </w:r>
      <w:r w:rsidR="00173578">
        <w:rPr>
          <w:rFonts w:ascii="Times New Roman" w:hAnsi="Times New Roman" w:cs="Times New Roman"/>
          <w:sz w:val="24"/>
          <w:szCs w:val="24"/>
          <w:lang w:val="en-US"/>
        </w:rPr>
        <w:t>MRD</w:t>
      </w:r>
      <w:r w:rsidR="00173578" w:rsidRPr="00173578">
        <w:rPr>
          <w:rFonts w:ascii="Times New Roman" w:hAnsi="Times New Roman" w:cs="Times New Roman"/>
          <w:sz w:val="24"/>
          <w:szCs w:val="24"/>
        </w:rPr>
        <w:t>-</w:t>
      </w:r>
      <w:r w:rsidRPr="00E9528A">
        <w:rPr>
          <w:rFonts w:ascii="Times New Roman" w:hAnsi="Times New Roman" w:cs="Times New Roman"/>
          <w:sz w:val="24"/>
          <w:szCs w:val="24"/>
        </w:rPr>
        <w:t xml:space="preserve"> ασθενών που υποβλήθηκαν σε αυτόλογη μεταμόσχευση. </w:t>
      </w:r>
    </w:p>
    <w:p w:rsidR="007B324A" w:rsidRPr="00CC360F" w:rsidRDefault="007B324A" w:rsidP="007B324A">
      <w:pPr>
        <w:spacing w:after="0" w:line="480" w:lineRule="auto"/>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pPr>
    </w:p>
    <w:p w:rsidR="007B324A" w:rsidRPr="00CC360F" w:rsidRDefault="007B324A" w:rsidP="00C32987">
      <w:pPr>
        <w:spacing w:after="0" w:line="480" w:lineRule="auto"/>
        <w:ind w:firstLine="426"/>
        <w:jc w:val="both"/>
        <w:rPr>
          <w:rFonts w:ascii="Arial" w:hAnsi="Arial" w:cs="Arial"/>
          <w:sz w:val="24"/>
          <w:szCs w:val="24"/>
        </w:rPr>
        <w:sectPr w:rsidR="007B324A" w:rsidRPr="00CC360F">
          <w:pgSz w:w="11906" w:h="16838"/>
          <w:pgMar w:top="1440" w:right="1800" w:bottom="1440" w:left="1800" w:header="708" w:footer="708" w:gutter="0"/>
          <w:cols w:space="708"/>
          <w:docGrid w:linePitch="360"/>
        </w:sectPr>
      </w:pPr>
    </w:p>
    <w:p w:rsidR="00780A22" w:rsidRPr="00173578" w:rsidRDefault="00780A22" w:rsidP="00780A22">
      <w:pPr>
        <w:spacing w:after="0"/>
        <w:ind w:left="-709"/>
        <w:rPr>
          <w:sz w:val="24"/>
          <w:szCs w:val="24"/>
        </w:rPr>
      </w:pPr>
      <w:r w:rsidRPr="00AE64A2">
        <w:rPr>
          <w:b/>
          <w:sz w:val="24"/>
          <w:szCs w:val="24"/>
        </w:rPr>
        <w:lastRenderedPageBreak/>
        <w:t>Πίνακας 1.</w:t>
      </w:r>
      <w:r w:rsidRPr="007D45C5">
        <w:rPr>
          <w:sz w:val="24"/>
          <w:szCs w:val="24"/>
        </w:rPr>
        <w:t xml:space="preserve"> </w:t>
      </w:r>
      <w:r>
        <w:rPr>
          <w:sz w:val="24"/>
          <w:szCs w:val="24"/>
        </w:rPr>
        <w:t>Κλινικά</w:t>
      </w:r>
      <w:r w:rsidRPr="007D45C5">
        <w:rPr>
          <w:sz w:val="24"/>
          <w:szCs w:val="24"/>
        </w:rPr>
        <w:t xml:space="preserve"> </w:t>
      </w:r>
      <w:r>
        <w:rPr>
          <w:sz w:val="24"/>
          <w:szCs w:val="24"/>
        </w:rPr>
        <w:t>χαρακτηριστικά</w:t>
      </w:r>
      <w:r w:rsidRPr="007D45C5">
        <w:rPr>
          <w:sz w:val="24"/>
          <w:szCs w:val="24"/>
        </w:rPr>
        <w:t xml:space="preserve"> </w:t>
      </w:r>
      <w:r>
        <w:rPr>
          <w:sz w:val="24"/>
          <w:szCs w:val="24"/>
        </w:rPr>
        <w:t>των</w:t>
      </w:r>
      <w:r w:rsidRPr="007D45C5">
        <w:rPr>
          <w:sz w:val="24"/>
          <w:szCs w:val="24"/>
        </w:rPr>
        <w:t xml:space="preserve"> </w:t>
      </w:r>
      <w:r>
        <w:rPr>
          <w:sz w:val="24"/>
          <w:szCs w:val="24"/>
        </w:rPr>
        <w:t>ασθενών</w:t>
      </w:r>
      <w:r w:rsidRPr="007D45C5">
        <w:rPr>
          <w:sz w:val="24"/>
          <w:szCs w:val="24"/>
        </w:rPr>
        <w:t xml:space="preserve"> </w:t>
      </w:r>
      <w:r>
        <w:rPr>
          <w:sz w:val="24"/>
          <w:szCs w:val="24"/>
        </w:rPr>
        <w:t>της</w:t>
      </w:r>
      <w:r w:rsidRPr="007D45C5">
        <w:rPr>
          <w:sz w:val="24"/>
          <w:szCs w:val="24"/>
        </w:rPr>
        <w:t xml:space="preserve"> </w:t>
      </w:r>
      <w:r>
        <w:rPr>
          <w:sz w:val="24"/>
          <w:szCs w:val="24"/>
        </w:rPr>
        <w:t>μελέτης</w:t>
      </w:r>
      <w:r w:rsidRPr="007D45C5">
        <w:rPr>
          <w:sz w:val="24"/>
          <w:szCs w:val="24"/>
        </w:rPr>
        <w:t xml:space="preserve"> </w:t>
      </w:r>
      <w:r>
        <w:rPr>
          <w:sz w:val="24"/>
          <w:szCs w:val="24"/>
        </w:rPr>
        <w:t>συναρτήσει</w:t>
      </w:r>
      <w:r w:rsidRPr="007D45C5">
        <w:rPr>
          <w:sz w:val="24"/>
          <w:szCs w:val="24"/>
        </w:rPr>
        <w:t xml:space="preserve"> </w:t>
      </w:r>
      <w:r>
        <w:rPr>
          <w:sz w:val="24"/>
          <w:szCs w:val="24"/>
        </w:rPr>
        <w:t>της</w:t>
      </w:r>
      <w:r w:rsidRPr="007D45C5">
        <w:rPr>
          <w:sz w:val="24"/>
          <w:szCs w:val="24"/>
        </w:rPr>
        <w:t xml:space="preserve"> </w:t>
      </w:r>
      <w:r>
        <w:rPr>
          <w:sz w:val="24"/>
          <w:szCs w:val="24"/>
        </w:rPr>
        <w:t>παρουσίας</w:t>
      </w:r>
      <w:r w:rsidRPr="007D45C5">
        <w:rPr>
          <w:sz w:val="24"/>
          <w:szCs w:val="24"/>
        </w:rPr>
        <w:t xml:space="preserve"> </w:t>
      </w:r>
      <w:r w:rsidR="00173578">
        <w:rPr>
          <w:sz w:val="24"/>
          <w:szCs w:val="24"/>
          <w:lang w:val="en-US"/>
        </w:rPr>
        <w:t>MRD</w:t>
      </w:r>
    </w:p>
    <w:tbl>
      <w:tblPr>
        <w:tblStyle w:val="a8"/>
        <w:tblW w:w="10620" w:type="dxa"/>
        <w:tblInd w:w="-792" w:type="dxa"/>
        <w:tblLook w:val="04A0" w:firstRow="1" w:lastRow="0" w:firstColumn="1" w:lastColumn="0" w:noHBand="0" w:noVBand="1"/>
      </w:tblPr>
      <w:tblGrid>
        <w:gridCol w:w="3532"/>
        <w:gridCol w:w="3038"/>
        <w:gridCol w:w="2678"/>
        <w:gridCol w:w="1372"/>
      </w:tblGrid>
      <w:tr w:rsidR="00780A22" w:rsidRPr="00855524" w:rsidTr="00780A22">
        <w:trPr>
          <w:trHeight w:val="502"/>
        </w:trPr>
        <w:tc>
          <w:tcPr>
            <w:tcW w:w="3532" w:type="dxa"/>
          </w:tcPr>
          <w:p w:rsidR="00780A22" w:rsidRPr="00855524" w:rsidRDefault="00780A22" w:rsidP="00780A22">
            <w:pPr>
              <w:jc w:val="center"/>
              <w:rPr>
                <w:b/>
                <w:sz w:val="24"/>
                <w:szCs w:val="24"/>
                <w:lang w:val="en-US"/>
              </w:rPr>
            </w:pPr>
            <w:r>
              <w:rPr>
                <w:b/>
                <w:sz w:val="24"/>
                <w:szCs w:val="24"/>
              </w:rPr>
              <w:t>Κλινικές Παράμετροι</w:t>
            </w:r>
          </w:p>
        </w:tc>
        <w:tc>
          <w:tcPr>
            <w:tcW w:w="3038" w:type="dxa"/>
          </w:tcPr>
          <w:p w:rsidR="00780A22" w:rsidRPr="00855524" w:rsidRDefault="00173578" w:rsidP="00780A22">
            <w:pPr>
              <w:jc w:val="center"/>
              <w:rPr>
                <w:b/>
                <w:sz w:val="24"/>
                <w:szCs w:val="24"/>
                <w:lang w:val="en-US"/>
              </w:rPr>
            </w:pPr>
            <w:r>
              <w:rPr>
                <w:b/>
                <w:sz w:val="24"/>
                <w:szCs w:val="24"/>
                <w:lang w:val="en-US"/>
              </w:rPr>
              <w:t>MRD</w:t>
            </w:r>
            <w:r w:rsidR="00780A22">
              <w:rPr>
                <w:b/>
                <w:sz w:val="24"/>
                <w:szCs w:val="24"/>
              </w:rPr>
              <w:t xml:space="preserve"> αρνητικοί</w:t>
            </w:r>
            <w:r w:rsidR="00780A22" w:rsidRPr="00855524">
              <w:rPr>
                <w:b/>
                <w:sz w:val="24"/>
                <w:szCs w:val="24"/>
                <w:lang w:val="en-US"/>
              </w:rPr>
              <w:t xml:space="preserve"> </w:t>
            </w:r>
            <w:r w:rsidR="00780A22">
              <w:rPr>
                <w:b/>
                <w:sz w:val="24"/>
                <w:szCs w:val="24"/>
              </w:rPr>
              <w:t>ασθενείς</w:t>
            </w:r>
          </w:p>
          <w:p w:rsidR="00780A22" w:rsidRPr="00855524" w:rsidRDefault="00780A22" w:rsidP="00780A22">
            <w:pPr>
              <w:jc w:val="center"/>
              <w:rPr>
                <w:b/>
                <w:sz w:val="24"/>
                <w:szCs w:val="24"/>
                <w:lang w:val="en-US"/>
              </w:rPr>
            </w:pPr>
            <w:r w:rsidRPr="00855524">
              <w:rPr>
                <w:b/>
                <w:sz w:val="24"/>
                <w:szCs w:val="24"/>
                <w:lang w:val="en-US"/>
              </w:rPr>
              <w:t>(N=</w:t>
            </w:r>
            <w:r>
              <w:rPr>
                <w:b/>
                <w:sz w:val="24"/>
                <w:szCs w:val="24"/>
                <w:lang w:val="en-US"/>
              </w:rPr>
              <w:t>26</w:t>
            </w:r>
            <w:r w:rsidRPr="00855524">
              <w:rPr>
                <w:b/>
                <w:sz w:val="24"/>
                <w:szCs w:val="24"/>
                <w:lang w:val="en-US"/>
              </w:rPr>
              <w:t>)</w:t>
            </w:r>
          </w:p>
        </w:tc>
        <w:tc>
          <w:tcPr>
            <w:tcW w:w="2678" w:type="dxa"/>
          </w:tcPr>
          <w:p w:rsidR="00780A22" w:rsidRPr="00855524" w:rsidRDefault="00173578" w:rsidP="00780A22">
            <w:pPr>
              <w:jc w:val="center"/>
              <w:rPr>
                <w:b/>
                <w:sz w:val="24"/>
                <w:szCs w:val="24"/>
                <w:lang w:val="en-US"/>
              </w:rPr>
            </w:pPr>
            <w:r>
              <w:rPr>
                <w:b/>
                <w:sz w:val="24"/>
                <w:szCs w:val="24"/>
                <w:lang w:val="en-US"/>
              </w:rPr>
              <w:t>MRD</w:t>
            </w:r>
            <w:r w:rsidR="00780A22" w:rsidRPr="007D45C5">
              <w:rPr>
                <w:b/>
                <w:sz w:val="24"/>
                <w:szCs w:val="24"/>
                <w:lang w:val="en-US"/>
              </w:rPr>
              <w:t xml:space="preserve"> </w:t>
            </w:r>
            <w:r w:rsidR="00780A22">
              <w:rPr>
                <w:b/>
                <w:sz w:val="24"/>
                <w:szCs w:val="24"/>
              </w:rPr>
              <w:t>θετικοί ασθενείς</w:t>
            </w:r>
            <w:r w:rsidR="00780A22" w:rsidRPr="007D45C5">
              <w:rPr>
                <w:b/>
                <w:sz w:val="24"/>
                <w:szCs w:val="24"/>
                <w:lang w:val="en-US"/>
              </w:rPr>
              <w:t xml:space="preserve"> </w:t>
            </w:r>
          </w:p>
          <w:p w:rsidR="00780A22" w:rsidRPr="00855524" w:rsidRDefault="00780A22" w:rsidP="00780A22">
            <w:pPr>
              <w:jc w:val="center"/>
              <w:rPr>
                <w:sz w:val="24"/>
                <w:szCs w:val="24"/>
                <w:lang w:val="en-US"/>
              </w:rPr>
            </w:pPr>
            <w:r w:rsidRPr="00855524">
              <w:rPr>
                <w:b/>
                <w:sz w:val="24"/>
                <w:szCs w:val="24"/>
                <w:lang w:val="en-US"/>
              </w:rPr>
              <w:t>(N=</w:t>
            </w:r>
            <w:r>
              <w:rPr>
                <w:b/>
                <w:sz w:val="24"/>
                <w:szCs w:val="24"/>
                <w:lang w:val="en-US"/>
              </w:rPr>
              <w:t>30</w:t>
            </w:r>
            <w:r w:rsidRPr="00855524">
              <w:rPr>
                <w:b/>
                <w:sz w:val="24"/>
                <w:szCs w:val="24"/>
                <w:lang w:val="en-US"/>
              </w:rPr>
              <w:t>)</w:t>
            </w:r>
          </w:p>
        </w:tc>
        <w:tc>
          <w:tcPr>
            <w:tcW w:w="1372" w:type="dxa"/>
          </w:tcPr>
          <w:p w:rsidR="00780A22" w:rsidRPr="00855524" w:rsidRDefault="00780A22" w:rsidP="00780A22">
            <w:pPr>
              <w:jc w:val="center"/>
              <w:rPr>
                <w:b/>
                <w:sz w:val="24"/>
                <w:szCs w:val="24"/>
                <w:lang w:val="en-US"/>
              </w:rPr>
            </w:pPr>
            <w:r w:rsidRPr="00855524">
              <w:rPr>
                <w:b/>
                <w:sz w:val="24"/>
                <w:szCs w:val="24"/>
                <w:lang w:val="en-US"/>
              </w:rPr>
              <w:t>P value</w:t>
            </w:r>
          </w:p>
        </w:tc>
      </w:tr>
      <w:tr w:rsidR="00780A22" w:rsidRPr="00855524" w:rsidTr="00780A22">
        <w:trPr>
          <w:trHeight w:val="187"/>
        </w:trPr>
        <w:tc>
          <w:tcPr>
            <w:tcW w:w="3532" w:type="dxa"/>
          </w:tcPr>
          <w:p w:rsidR="00780A22" w:rsidRPr="007D45C5" w:rsidRDefault="00780A22" w:rsidP="00780A22">
            <w:pPr>
              <w:tabs>
                <w:tab w:val="left" w:pos="495"/>
                <w:tab w:val="center" w:pos="1658"/>
              </w:tabs>
              <w:rPr>
                <w:sz w:val="24"/>
                <w:szCs w:val="24"/>
              </w:rPr>
            </w:pPr>
            <w:r>
              <w:rPr>
                <w:sz w:val="24"/>
                <w:szCs w:val="24"/>
              </w:rPr>
              <w:tab/>
            </w:r>
            <w:r>
              <w:rPr>
                <w:sz w:val="24"/>
                <w:szCs w:val="24"/>
              </w:rPr>
              <w:tab/>
              <w:t>Ηλικία</w:t>
            </w:r>
          </w:p>
        </w:tc>
        <w:tc>
          <w:tcPr>
            <w:tcW w:w="3038" w:type="dxa"/>
          </w:tcPr>
          <w:p w:rsidR="00780A22" w:rsidRPr="00855524" w:rsidRDefault="00780A22" w:rsidP="00780A22">
            <w:pPr>
              <w:jc w:val="center"/>
              <w:rPr>
                <w:sz w:val="24"/>
                <w:szCs w:val="24"/>
                <w:lang w:val="en-US"/>
              </w:rPr>
            </w:pPr>
            <w:r w:rsidRPr="00855524">
              <w:rPr>
                <w:sz w:val="24"/>
                <w:szCs w:val="24"/>
                <w:lang w:val="en-US"/>
              </w:rPr>
              <w:t>6</w:t>
            </w:r>
            <w:r>
              <w:rPr>
                <w:sz w:val="24"/>
                <w:szCs w:val="24"/>
                <w:lang w:val="en-US"/>
              </w:rPr>
              <w:t>2</w:t>
            </w:r>
            <w:r w:rsidRPr="00855524">
              <w:rPr>
                <w:sz w:val="24"/>
                <w:szCs w:val="24"/>
                <w:lang w:val="en-US"/>
              </w:rPr>
              <w:t xml:space="preserve"> (37-78)</w:t>
            </w:r>
            <w:r>
              <w:rPr>
                <w:sz w:val="24"/>
                <w:szCs w:val="24"/>
                <w:lang w:val="en-US"/>
              </w:rPr>
              <w:t>*</w:t>
            </w:r>
          </w:p>
        </w:tc>
        <w:tc>
          <w:tcPr>
            <w:tcW w:w="2678" w:type="dxa"/>
          </w:tcPr>
          <w:p w:rsidR="00780A22" w:rsidRPr="00855524" w:rsidRDefault="00780A22" w:rsidP="00780A22">
            <w:pPr>
              <w:jc w:val="center"/>
              <w:rPr>
                <w:sz w:val="24"/>
                <w:szCs w:val="24"/>
                <w:lang w:val="en-US"/>
              </w:rPr>
            </w:pPr>
            <w:r w:rsidRPr="00855524">
              <w:rPr>
                <w:sz w:val="24"/>
                <w:szCs w:val="24"/>
                <w:lang w:val="en-US"/>
              </w:rPr>
              <w:t>59 (37-80)</w:t>
            </w:r>
          </w:p>
        </w:tc>
        <w:tc>
          <w:tcPr>
            <w:tcW w:w="1372" w:type="dxa"/>
          </w:tcPr>
          <w:p w:rsidR="00780A22" w:rsidRPr="00855524" w:rsidRDefault="00780A22" w:rsidP="00780A22">
            <w:pPr>
              <w:jc w:val="center"/>
              <w:rPr>
                <w:sz w:val="24"/>
                <w:szCs w:val="24"/>
                <w:lang w:val="en-US"/>
              </w:rPr>
            </w:pPr>
            <w:r w:rsidRPr="00855524">
              <w:rPr>
                <w:sz w:val="24"/>
                <w:szCs w:val="24"/>
                <w:lang w:val="en-US"/>
              </w:rPr>
              <w:t>0</w:t>
            </w:r>
            <w:r>
              <w:rPr>
                <w:sz w:val="24"/>
                <w:szCs w:val="24"/>
              </w:rPr>
              <w:t>,</w:t>
            </w:r>
            <w:r>
              <w:rPr>
                <w:sz w:val="24"/>
                <w:szCs w:val="24"/>
                <w:lang w:val="en-US"/>
              </w:rPr>
              <w:t>9474</w:t>
            </w:r>
          </w:p>
        </w:tc>
      </w:tr>
      <w:tr w:rsidR="00780A22" w:rsidRPr="00855524" w:rsidTr="00780A22">
        <w:trPr>
          <w:trHeight w:val="241"/>
        </w:trPr>
        <w:tc>
          <w:tcPr>
            <w:tcW w:w="3532" w:type="dxa"/>
          </w:tcPr>
          <w:p w:rsidR="00780A22" w:rsidRPr="00855524" w:rsidRDefault="00780A22" w:rsidP="00780A22">
            <w:pPr>
              <w:jc w:val="center"/>
              <w:rPr>
                <w:sz w:val="24"/>
                <w:szCs w:val="24"/>
                <w:lang w:val="en-US"/>
              </w:rPr>
            </w:pPr>
            <w:r>
              <w:rPr>
                <w:sz w:val="24"/>
                <w:szCs w:val="24"/>
              </w:rPr>
              <w:t>Άρρεν φύλο</w:t>
            </w:r>
            <w:r w:rsidRPr="00855524">
              <w:rPr>
                <w:sz w:val="24"/>
                <w:szCs w:val="24"/>
                <w:lang w:val="en-US"/>
              </w:rPr>
              <w:t xml:space="preserve"> (%)</w:t>
            </w:r>
          </w:p>
        </w:tc>
        <w:tc>
          <w:tcPr>
            <w:tcW w:w="3038" w:type="dxa"/>
          </w:tcPr>
          <w:p w:rsidR="00780A22" w:rsidRPr="00855524" w:rsidRDefault="00780A22" w:rsidP="00780A22">
            <w:pPr>
              <w:jc w:val="center"/>
              <w:rPr>
                <w:sz w:val="24"/>
                <w:szCs w:val="24"/>
                <w:lang w:val="en-US"/>
              </w:rPr>
            </w:pPr>
            <w:r w:rsidRPr="00855524">
              <w:rPr>
                <w:sz w:val="24"/>
                <w:szCs w:val="24"/>
                <w:lang w:val="en-US"/>
              </w:rPr>
              <w:t>1</w:t>
            </w:r>
            <w:r>
              <w:rPr>
                <w:sz w:val="24"/>
                <w:szCs w:val="24"/>
                <w:lang w:val="en-US"/>
              </w:rPr>
              <w:t>4</w:t>
            </w:r>
            <w:r w:rsidRPr="00855524">
              <w:rPr>
                <w:sz w:val="24"/>
                <w:szCs w:val="24"/>
                <w:lang w:val="en-US"/>
              </w:rPr>
              <w:t>/2</w:t>
            </w:r>
            <w:r>
              <w:rPr>
                <w:sz w:val="24"/>
                <w:szCs w:val="24"/>
                <w:lang w:val="en-US"/>
              </w:rPr>
              <w:t>6</w:t>
            </w:r>
            <w:r w:rsidRPr="00855524">
              <w:rPr>
                <w:sz w:val="24"/>
                <w:szCs w:val="24"/>
                <w:lang w:val="en-US"/>
              </w:rPr>
              <w:t xml:space="preserve"> (5</w:t>
            </w:r>
            <w:r>
              <w:rPr>
                <w:sz w:val="24"/>
                <w:szCs w:val="24"/>
                <w:lang w:val="en-US"/>
              </w:rPr>
              <w:t>3</w:t>
            </w:r>
            <w:r>
              <w:rPr>
                <w:sz w:val="24"/>
                <w:szCs w:val="24"/>
              </w:rPr>
              <w:t>,</w:t>
            </w:r>
            <w:r>
              <w:rPr>
                <w:sz w:val="24"/>
                <w:szCs w:val="24"/>
                <w:lang w:val="en-US"/>
              </w:rPr>
              <w:t>8</w:t>
            </w:r>
            <w:r w:rsidRPr="00855524">
              <w:rPr>
                <w:sz w:val="24"/>
                <w:szCs w:val="24"/>
                <w:lang w:val="en-US"/>
              </w:rPr>
              <w:t>%)</w:t>
            </w:r>
          </w:p>
        </w:tc>
        <w:tc>
          <w:tcPr>
            <w:tcW w:w="2678" w:type="dxa"/>
          </w:tcPr>
          <w:p w:rsidR="00780A22" w:rsidRPr="00855524" w:rsidRDefault="00780A22" w:rsidP="00780A22">
            <w:pPr>
              <w:jc w:val="center"/>
              <w:rPr>
                <w:sz w:val="24"/>
                <w:szCs w:val="24"/>
                <w:lang w:val="en-US"/>
              </w:rPr>
            </w:pPr>
            <w:r w:rsidRPr="00855524">
              <w:rPr>
                <w:sz w:val="24"/>
                <w:szCs w:val="24"/>
                <w:lang w:val="en-US"/>
              </w:rPr>
              <w:t>1</w:t>
            </w:r>
            <w:r>
              <w:rPr>
                <w:sz w:val="24"/>
                <w:szCs w:val="24"/>
                <w:lang w:val="en-US"/>
              </w:rPr>
              <w:t>9</w:t>
            </w:r>
            <w:r w:rsidRPr="00855524">
              <w:rPr>
                <w:sz w:val="24"/>
                <w:szCs w:val="24"/>
                <w:lang w:val="en-US"/>
              </w:rPr>
              <w:t>/</w:t>
            </w:r>
            <w:r>
              <w:rPr>
                <w:sz w:val="24"/>
                <w:szCs w:val="24"/>
                <w:lang w:val="en-US"/>
              </w:rPr>
              <w:t>30</w:t>
            </w:r>
            <w:r w:rsidRPr="00855524">
              <w:rPr>
                <w:sz w:val="24"/>
                <w:szCs w:val="24"/>
                <w:lang w:val="en-US"/>
              </w:rPr>
              <w:t xml:space="preserve"> (6</w:t>
            </w:r>
            <w:r>
              <w:rPr>
                <w:sz w:val="24"/>
                <w:szCs w:val="24"/>
                <w:lang w:val="en-US"/>
              </w:rPr>
              <w:t>3</w:t>
            </w:r>
            <w:r>
              <w:rPr>
                <w:sz w:val="24"/>
                <w:szCs w:val="24"/>
              </w:rPr>
              <w:t>,</w:t>
            </w:r>
            <w:r>
              <w:rPr>
                <w:sz w:val="24"/>
                <w:szCs w:val="24"/>
                <w:lang w:val="en-US"/>
              </w:rPr>
              <w:t>3</w:t>
            </w:r>
            <w:r w:rsidRPr="00855524">
              <w:rPr>
                <w:sz w:val="24"/>
                <w:szCs w:val="24"/>
                <w:lang w:val="en-US"/>
              </w:rPr>
              <w:t>%)</w:t>
            </w:r>
          </w:p>
        </w:tc>
        <w:tc>
          <w:tcPr>
            <w:tcW w:w="1372" w:type="dxa"/>
          </w:tcPr>
          <w:p w:rsidR="00780A22" w:rsidRPr="00855524" w:rsidRDefault="00780A22" w:rsidP="00780A22">
            <w:pPr>
              <w:jc w:val="center"/>
              <w:rPr>
                <w:sz w:val="24"/>
                <w:szCs w:val="24"/>
                <w:lang w:val="en-US"/>
              </w:rPr>
            </w:pPr>
            <w:r w:rsidRPr="00855524">
              <w:rPr>
                <w:sz w:val="24"/>
                <w:szCs w:val="24"/>
                <w:lang w:val="en-US"/>
              </w:rPr>
              <w:t>0</w:t>
            </w:r>
            <w:r>
              <w:rPr>
                <w:sz w:val="24"/>
                <w:szCs w:val="24"/>
              </w:rPr>
              <w:t>,</w:t>
            </w:r>
            <w:r w:rsidRPr="00855524">
              <w:rPr>
                <w:sz w:val="24"/>
                <w:szCs w:val="24"/>
                <w:lang w:val="en-US"/>
              </w:rPr>
              <w:t>5</w:t>
            </w:r>
            <w:r>
              <w:rPr>
                <w:sz w:val="24"/>
                <w:szCs w:val="24"/>
                <w:lang w:val="en-US"/>
              </w:rPr>
              <w:t>882</w:t>
            </w:r>
          </w:p>
        </w:tc>
      </w:tr>
      <w:tr w:rsidR="00780A22" w:rsidRPr="00855524" w:rsidTr="00780A22">
        <w:trPr>
          <w:trHeight w:val="304"/>
        </w:trPr>
        <w:tc>
          <w:tcPr>
            <w:tcW w:w="3532" w:type="dxa"/>
          </w:tcPr>
          <w:p w:rsidR="00780A22" w:rsidRPr="00855524" w:rsidRDefault="00780A22" w:rsidP="00780A22">
            <w:pPr>
              <w:jc w:val="center"/>
              <w:rPr>
                <w:sz w:val="24"/>
                <w:szCs w:val="24"/>
                <w:lang w:val="en-US"/>
              </w:rPr>
            </w:pPr>
            <w:r>
              <w:rPr>
                <w:sz w:val="24"/>
                <w:szCs w:val="24"/>
              </w:rPr>
              <w:t>Αιμοσφαιρίνη</w:t>
            </w:r>
            <w:r w:rsidRPr="00855524">
              <w:rPr>
                <w:sz w:val="24"/>
                <w:szCs w:val="24"/>
                <w:lang w:val="en-US"/>
              </w:rPr>
              <w:t xml:space="preserve"> (g/dL)</w:t>
            </w:r>
          </w:p>
        </w:tc>
        <w:tc>
          <w:tcPr>
            <w:tcW w:w="3038" w:type="dxa"/>
          </w:tcPr>
          <w:p w:rsidR="00780A22" w:rsidRPr="00855524" w:rsidRDefault="00780A22" w:rsidP="00780A22">
            <w:pPr>
              <w:jc w:val="center"/>
              <w:rPr>
                <w:sz w:val="24"/>
                <w:szCs w:val="24"/>
                <w:lang w:val="en-US"/>
              </w:rPr>
            </w:pPr>
            <w:r w:rsidRPr="00855524">
              <w:rPr>
                <w:sz w:val="24"/>
                <w:szCs w:val="24"/>
                <w:lang w:val="en-US"/>
              </w:rPr>
              <w:t>10.</w:t>
            </w:r>
            <w:r>
              <w:rPr>
                <w:sz w:val="24"/>
                <w:szCs w:val="24"/>
                <w:lang w:val="en-US"/>
              </w:rPr>
              <w:t>5</w:t>
            </w:r>
            <w:r w:rsidRPr="00855524">
              <w:rPr>
                <w:sz w:val="24"/>
                <w:szCs w:val="24"/>
                <w:lang w:val="en-US"/>
              </w:rPr>
              <w:t xml:space="preserve"> (6</w:t>
            </w:r>
            <w:r>
              <w:rPr>
                <w:sz w:val="24"/>
                <w:szCs w:val="24"/>
              </w:rPr>
              <w:t>,</w:t>
            </w:r>
            <w:r w:rsidRPr="00855524">
              <w:rPr>
                <w:sz w:val="24"/>
                <w:szCs w:val="24"/>
                <w:lang w:val="en-US"/>
              </w:rPr>
              <w:t>8-15</w:t>
            </w:r>
            <w:r>
              <w:rPr>
                <w:sz w:val="24"/>
                <w:szCs w:val="24"/>
              </w:rPr>
              <w:t>,</w:t>
            </w:r>
            <w:r w:rsidRPr="00855524">
              <w:rPr>
                <w:sz w:val="24"/>
                <w:szCs w:val="24"/>
                <w:lang w:val="en-US"/>
              </w:rPr>
              <w:t>3)</w:t>
            </w:r>
          </w:p>
        </w:tc>
        <w:tc>
          <w:tcPr>
            <w:tcW w:w="2678" w:type="dxa"/>
          </w:tcPr>
          <w:p w:rsidR="00780A22" w:rsidRPr="00855524" w:rsidRDefault="00780A22" w:rsidP="00780A22">
            <w:pPr>
              <w:jc w:val="center"/>
              <w:rPr>
                <w:sz w:val="24"/>
                <w:szCs w:val="24"/>
                <w:lang w:val="en-US"/>
              </w:rPr>
            </w:pPr>
            <w:r w:rsidRPr="00855524">
              <w:rPr>
                <w:sz w:val="24"/>
                <w:szCs w:val="24"/>
                <w:lang w:val="en-US"/>
              </w:rPr>
              <w:t>11.</w:t>
            </w:r>
            <w:r>
              <w:rPr>
                <w:sz w:val="24"/>
                <w:szCs w:val="24"/>
                <w:lang w:val="en-US"/>
              </w:rPr>
              <w:t>5</w:t>
            </w:r>
            <w:r w:rsidRPr="00855524">
              <w:rPr>
                <w:sz w:val="24"/>
                <w:szCs w:val="24"/>
                <w:lang w:val="en-US"/>
              </w:rPr>
              <w:t xml:space="preserve"> (8</w:t>
            </w:r>
            <w:r>
              <w:rPr>
                <w:sz w:val="24"/>
                <w:szCs w:val="24"/>
              </w:rPr>
              <w:t>,</w:t>
            </w:r>
            <w:r w:rsidRPr="00855524">
              <w:rPr>
                <w:sz w:val="24"/>
                <w:szCs w:val="24"/>
                <w:lang w:val="en-US"/>
              </w:rPr>
              <w:t>1-15</w:t>
            </w:r>
            <w:r>
              <w:rPr>
                <w:sz w:val="24"/>
                <w:szCs w:val="24"/>
              </w:rPr>
              <w:t>,</w:t>
            </w:r>
            <w:r w:rsidRPr="00855524">
              <w:rPr>
                <w:sz w:val="24"/>
                <w:szCs w:val="24"/>
                <w:lang w:val="en-US"/>
              </w:rPr>
              <w:t>6)</w:t>
            </w:r>
          </w:p>
        </w:tc>
        <w:tc>
          <w:tcPr>
            <w:tcW w:w="1372" w:type="dxa"/>
          </w:tcPr>
          <w:p w:rsidR="00780A22" w:rsidRPr="00855524" w:rsidRDefault="00780A22" w:rsidP="00780A22">
            <w:pPr>
              <w:jc w:val="center"/>
              <w:rPr>
                <w:sz w:val="24"/>
                <w:szCs w:val="24"/>
                <w:lang w:val="en-US"/>
              </w:rPr>
            </w:pPr>
            <w:r w:rsidRPr="00855524">
              <w:rPr>
                <w:sz w:val="24"/>
                <w:szCs w:val="24"/>
                <w:lang w:val="en-US"/>
              </w:rPr>
              <w:t>0</w:t>
            </w:r>
            <w:r>
              <w:rPr>
                <w:sz w:val="24"/>
                <w:szCs w:val="24"/>
              </w:rPr>
              <w:t>,</w:t>
            </w:r>
            <w:r>
              <w:rPr>
                <w:sz w:val="24"/>
                <w:szCs w:val="24"/>
                <w:lang w:val="en-US"/>
              </w:rPr>
              <w:t>3263</w:t>
            </w:r>
          </w:p>
        </w:tc>
      </w:tr>
      <w:tr w:rsidR="00780A22" w:rsidRPr="00855524" w:rsidTr="00780A22">
        <w:trPr>
          <w:trHeight w:val="151"/>
        </w:trPr>
        <w:tc>
          <w:tcPr>
            <w:tcW w:w="3532" w:type="dxa"/>
          </w:tcPr>
          <w:p w:rsidR="00780A22" w:rsidRPr="00855524" w:rsidRDefault="00780A22" w:rsidP="00780A22">
            <w:pPr>
              <w:jc w:val="center"/>
              <w:rPr>
                <w:sz w:val="24"/>
                <w:szCs w:val="24"/>
                <w:lang w:val="en-US"/>
              </w:rPr>
            </w:pPr>
            <w:r>
              <w:rPr>
                <w:sz w:val="24"/>
                <w:szCs w:val="24"/>
              </w:rPr>
              <w:t>Αριθμός αιμοπεταλίων</w:t>
            </w:r>
            <w:r w:rsidRPr="00855524">
              <w:rPr>
                <w:sz w:val="24"/>
                <w:szCs w:val="24"/>
                <w:lang w:val="en-US"/>
              </w:rPr>
              <w:t xml:space="preserve"> (x10</w:t>
            </w:r>
            <w:r w:rsidRPr="00855524">
              <w:rPr>
                <w:sz w:val="24"/>
                <w:szCs w:val="24"/>
                <w:vertAlign w:val="superscript"/>
                <w:lang w:val="en-US"/>
              </w:rPr>
              <w:t>9</w:t>
            </w:r>
            <w:r w:rsidRPr="00855524">
              <w:rPr>
                <w:sz w:val="24"/>
                <w:szCs w:val="24"/>
                <w:lang w:val="en-US"/>
              </w:rPr>
              <w:t>/L)</w:t>
            </w:r>
          </w:p>
        </w:tc>
        <w:tc>
          <w:tcPr>
            <w:tcW w:w="3038" w:type="dxa"/>
          </w:tcPr>
          <w:p w:rsidR="00780A22" w:rsidRPr="00855524" w:rsidRDefault="00780A22" w:rsidP="00780A22">
            <w:pPr>
              <w:jc w:val="center"/>
              <w:rPr>
                <w:sz w:val="24"/>
                <w:szCs w:val="24"/>
                <w:lang w:val="en-US"/>
              </w:rPr>
            </w:pPr>
            <w:r w:rsidRPr="00855524">
              <w:rPr>
                <w:sz w:val="24"/>
                <w:szCs w:val="24"/>
                <w:lang w:val="en-US"/>
              </w:rPr>
              <w:t>2</w:t>
            </w:r>
            <w:r>
              <w:rPr>
                <w:sz w:val="24"/>
                <w:szCs w:val="24"/>
                <w:lang w:val="en-US"/>
              </w:rPr>
              <w:t>53</w:t>
            </w:r>
            <w:r w:rsidRPr="00855524">
              <w:rPr>
                <w:sz w:val="24"/>
                <w:szCs w:val="24"/>
                <w:lang w:val="en-US"/>
              </w:rPr>
              <w:t xml:space="preserve"> (166-720)</w:t>
            </w:r>
          </w:p>
        </w:tc>
        <w:tc>
          <w:tcPr>
            <w:tcW w:w="2678" w:type="dxa"/>
          </w:tcPr>
          <w:p w:rsidR="00780A22" w:rsidRPr="00855524" w:rsidRDefault="00780A22" w:rsidP="00780A22">
            <w:pPr>
              <w:jc w:val="center"/>
              <w:rPr>
                <w:sz w:val="24"/>
                <w:szCs w:val="24"/>
                <w:lang w:val="en-US"/>
              </w:rPr>
            </w:pPr>
            <w:r w:rsidRPr="00855524">
              <w:rPr>
                <w:sz w:val="24"/>
                <w:szCs w:val="24"/>
                <w:lang w:val="en-US"/>
              </w:rPr>
              <w:t>2</w:t>
            </w:r>
            <w:r>
              <w:rPr>
                <w:sz w:val="24"/>
                <w:szCs w:val="24"/>
                <w:lang w:val="en-US"/>
              </w:rPr>
              <w:t>54</w:t>
            </w:r>
            <w:r w:rsidRPr="00855524">
              <w:rPr>
                <w:sz w:val="24"/>
                <w:szCs w:val="24"/>
                <w:lang w:val="en-US"/>
              </w:rPr>
              <w:t xml:space="preserve"> (116-592)</w:t>
            </w:r>
          </w:p>
        </w:tc>
        <w:tc>
          <w:tcPr>
            <w:tcW w:w="1372" w:type="dxa"/>
          </w:tcPr>
          <w:p w:rsidR="00780A22" w:rsidRPr="00855524" w:rsidRDefault="00780A22" w:rsidP="00780A22">
            <w:pPr>
              <w:jc w:val="center"/>
              <w:rPr>
                <w:sz w:val="24"/>
                <w:szCs w:val="24"/>
                <w:lang w:val="en-US"/>
              </w:rPr>
            </w:pPr>
            <w:r w:rsidRPr="00855524">
              <w:rPr>
                <w:sz w:val="24"/>
                <w:szCs w:val="24"/>
                <w:lang w:val="en-US"/>
              </w:rPr>
              <w:t>0</w:t>
            </w:r>
            <w:r>
              <w:rPr>
                <w:sz w:val="24"/>
                <w:szCs w:val="24"/>
              </w:rPr>
              <w:t>,</w:t>
            </w:r>
            <w:r>
              <w:rPr>
                <w:sz w:val="24"/>
                <w:szCs w:val="24"/>
                <w:lang w:val="en-US"/>
              </w:rPr>
              <w:t>6172</w:t>
            </w:r>
          </w:p>
        </w:tc>
      </w:tr>
      <w:tr w:rsidR="00780A22" w:rsidRPr="00855524" w:rsidTr="00780A22">
        <w:trPr>
          <w:trHeight w:val="97"/>
        </w:trPr>
        <w:tc>
          <w:tcPr>
            <w:tcW w:w="3532" w:type="dxa"/>
          </w:tcPr>
          <w:p w:rsidR="00780A22" w:rsidRPr="007D45C5" w:rsidRDefault="00780A22" w:rsidP="00780A22">
            <w:pPr>
              <w:jc w:val="center"/>
              <w:rPr>
                <w:sz w:val="24"/>
                <w:szCs w:val="24"/>
              </w:rPr>
            </w:pPr>
            <w:r>
              <w:rPr>
                <w:sz w:val="24"/>
                <w:szCs w:val="24"/>
              </w:rPr>
              <w:t>Αριθμός ουδετερόφιλων (</w:t>
            </w:r>
            <w:r w:rsidRPr="00855524">
              <w:rPr>
                <w:sz w:val="24"/>
                <w:szCs w:val="24"/>
                <w:lang w:val="en-US"/>
              </w:rPr>
              <w:t>/</w:t>
            </w:r>
            <w:r w:rsidRPr="00855524">
              <w:rPr>
                <w:sz w:val="24"/>
                <w:szCs w:val="24"/>
              </w:rPr>
              <w:t>μ</w:t>
            </w:r>
            <w:r w:rsidRPr="00855524">
              <w:rPr>
                <w:sz w:val="24"/>
                <w:szCs w:val="24"/>
                <w:lang w:val="en-US"/>
              </w:rPr>
              <w:t>L</w:t>
            </w:r>
            <w:r>
              <w:rPr>
                <w:sz w:val="24"/>
                <w:szCs w:val="24"/>
              </w:rPr>
              <w:t>)</w:t>
            </w:r>
          </w:p>
        </w:tc>
        <w:tc>
          <w:tcPr>
            <w:tcW w:w="3038" w:type="dxa"/>
          </w:tcPr>
          <w:p w:rsidR="00780A22" w:rsidRPr="00855524" w:rsidRDefault="00780A22" w:rsidP="00780A22">
            <w:pPr>
              <w:jc w:val="center"/>
              <w:rPr>
                <w:sz w:val="24"/>
                <w:szCs w:val="24"/>
                <w:lang w:val="en-US"/>
              </w:rPr>
            </w:pPr>
            <w:r w:rsidRPr="00855524">
              <w:rPr>
                <w:sz w:val="24"/>
                <w:szCs w:val="24"/>
                <w:lang w:val="en-US"/>
              </w:rPr>
              <w:t>3500 (1400-8500)</w:t>
            </w:r>
          </w:p>
        </w:tc>
        <w:tc>
          <w:tcPr>
            <w:tcW w:w="2678" w:type="dxa"/>
          </w:tcPr>
          <w:p w:rsidR="00780A22" w:rsidRPr="00855524" w:rsidRDefault="00780A22" w:rsidP="00780A22">
            <w:pPr>
              <w:jc w:val="center"/>
              <w:rPr>
                <w:sz w:val="24"/>
                <w:szCs w:val="24"/>
                <w:lang w:val="en-US"/>
              </w:rPr>
            </w:pPr>
            <w:r w:rsidRPr="00855524">
              <w:rPr>
                <w:sz w:val="24"/>
                <w:szCs w:val="24"/>
                <w:lang w:val="en-US"/>
              </w:rPr>
              <w:t>3</w:t>
            </w:r>
            <w:r>
              <w:rPr>
                <w:sz w:val="24"/>
                <w:szCs w:val="24"/>
                <w:lang w:val="en-US"/>
              </w:rPr>
              <w:t>2</w:t>
            </w:r>
            <w:r w:rsidRPr="00855524">
              <w:rPr>
                <w:sz w:val="24"/>
                <w:szCs w:val="24"/>
                <w:lang w:val="en-US"/>
              </w:rPr>
              <w:t>00 (1500-23900)</w:t>
            </w:r>
          </w:p>
        </w:tc>
        <w:tc>
          <w:tcPr>
            <w:tcW w:w="1372" w:type="dxa"/>
          </w:tcPr>
          <w:p w:rsidR="00780A22" w:rsidRPr="00855524" w:rsidRDefault="00780A22" w:rsidP="00780A22">
            <w:pPr>
              <w:jc w:val="center"/>
              <w:rPr>
                <w:sz w:val="24"/>
                <w:szCs w:val="24"/>
                <w:lang w:val="en-US"/>
              </w:rPr>
            </w:pPr>
            <w:r w:rsidRPr="00855524">
              <w:rPr>
                <w:sz w:val="24"/>
                <w:szCs w:val="24"/>
                <w:lang w:val="en-US"/>
              </w:rPr>
              <w:t>0</w:t>
            </w:r>
            <w:r>
              <w:rPr>
                <w:sz w:val="24"/>
                <w:szCs w:val="24"/>
              </w:rPr>
              <w:t>,</w:t>
            </w:r>
            <w:r>
              <w:rPr>
                <w:sz w:val="24"/>
                <w:szCs w:val="24"/>
                <w:lang w:val="en-US"/>
              </w:rPr>
              <w:t>6922</w:t>
            </w:r>
          </w:p>
        </w:tc>
      </w:tr>
      <w:tr w:rsidR="00780A22" w:rsidRPr="00855524" w:rsidTr="00780A22">
        <w:trPr>
          <w:trHeight w:val="331"/>
        </w:trPr>
        <w:tc>
          <w:tcPr>
            <w:tcW w:w="3532" w:type="dxa"/>
          </w:tcPr>
          <w:p w:rsidR="00780A22" w:rsidRPr="00855524" w:rsidRDefault="00780A22" w:rsidP="00780A22">
            <w:pPr>
              <w:jc w:val="center"/>
              <w:rPr>
                <w:sz w:val="24"/>
                <w:szCs w:val="24"/>
                <w:lang w:val="en-US"/>
              </w:rPr>
            </w:pPr>
            <w:r>
              <w:rPr>
                <w:sz w:val="24"/>
                <w:szCs w:val="24"/>
              </w:rPr>
              <w:t>Αλβουμίνη Ορού</w:t>
            </w:r>
            <w:r w:rsidRPr="00855524">
              <w:rPr>
                <w:sz w:val="24"/>
                <w:szCs w:val="24"/>
                <w:lang w:val="en-US"/>
              </w:rPr>
              <w:t xml:space="preserve"> (g/dL)</w:t>
            </w:r>
          </w:p>
        </w:tc>
        <w:tc>
          <w:tcPr>
            <w:tcW w:w="3038" w:type="dxa"/>
          </w:tcPr>
          <w:p w:rsidR="00780A22" w:rsidRPr="00855524" w:rsidRDefault="00780A22" w:rsidP="00780A22">
            <w:pPr>
              <w:jc w:val="center"/>
              <w:rPr>
                <w:sz w:val="24"/>
                <w:szCs w:val="24"/>
                <w:lang w:val="en-US"/>
              </w:rPr>
            </w:pPr>
            <w:r w:rsidRPr="00855524">
              <w:rPr>
                <w:sz w:val="24"/>
                <w:szCs w:val="24"/>
                <w:lang w:val="en-US"/>
              </w:rPr>
              <w:t>3</w:t>
            </w:r>
            <w:r>
              <w:rPr>
                <w:sz w:val="24"/>
                <w:szCs w:val="24"/>
              </w:rPr>
              <w:t>,7</w:t>
            </w:r>
            <w:r w:rsidRPr="00855524">
              <w:rPr>
                <w:sz w:val="24"/>
                <w:szCs w:val="24"/>
                <w:lang w:val="en-US"/>
              </w:rPr>
              <w:t xml:space="preserve"> (1</w:t>
            </w:r>
            <w:r>
              <w:rPr>
                <w:sz w:val="24"/>
                <w:szCs w:val="24"/>
              </w:rPr>
              <w:t>,</w:t>
            </w:r>
            <w:r w:rsidRPr="00855524">
              <w:rPr>
                <w:sz w:val="24"/>
                <w:szCs w:val="24"/>
                <w:lang w:val="en-US"/>
              </w:rPr>
              <w:t>7-4</w:t>
            </w:r>
            <w:r>
              <w:rPr>
                <w:sz w:val="24"/>
                <w:szCs w:val="24"/>
              </w:rPr>
              <w:t>,</w:t>
            </w:r>
            <w:r w:rsidRPr="00855524">
              <w:rPr>
                <w:sz w:val="24"/>
                <w:szCs w:val="24"/>
                <w:lang w:val="en-US"/>
              </w:rPr>
              <w:t>9)</w:t>
            </w:r>
          </w:p>
        </w:tc>
        <w:tc>
          <w:tcPr>
            <w:tcW w:w="2678" w:type="dxa"/>
          </w:tcPr>
          <w:p w:rsidR="00780A22" w:rsidRPr="00855524" w:rsidRDefault="00780A22" w:rsidP="00780A22">
            <w:pPr>
              <w:jc w:val="center"/>
              <w:rPr>
                <w:sz w:val="24"/>
                <w:szCs w:val="24"/>
                <w:lang w:val="en-US"/>
              </w:rPr>
            </w:pPr>
            <w:r w:rsidRPr="00855524">
              <w:rPr>
                <w:sz w:val="24"/>
                <w:szCs w:val="24"/>
                <w:lang w:val="en-US"/>
              </w:rPr>
              <w:t>3</w:t>
            </w:r>
            <w:r>
              <w:rPr>
                <w:sz w:val="24"/>
                <w:szCs w:val="24"/>
              </w:rPr>
              <w:t>,</w:t>
            </w:r>
            <w:r w:rsidRPr="00855524">
              <w:rPr>
                <w:sz w:val="24"/>
                <w:szCs w:val="24"/>
                <w:lang w:val="en-US"/>
              </w:rPr>
              <w:t>8 (2</w:t>
            </w:r>
            <w:r>
              <w:rPr>
                <w:sz w:val="24"/>
                <w:szCs w:val="24"/>
              </w:rPr>
              <w:t>,</w:t>
            </w:r>
            <w:r w:rsidRPr="00855524">
              <w:rPr>
                <w:sz w:val="24"/>
                <w:szCs w:val="24"/>
                <w:lang w:val="en-US"/>
              </w:rPr>
              <w:t>7-4</w:t>
            </w:r>
            <w:r>
              <w:rPr>
                <w:sz w:val="24"/>
                <w:szCs w:val="24"/>
              </w:rPr>
              <w:t>,</w:t>
            </w:r>
            <w:r w:rsidRPr="00855524">
              <w:rPr>
                <w:sz w:val="24"/>
                <w:szCs w:val="24"/>
                <w:lang w:val="en-US"/>
              </w:rPr>
              <w:t>9)</w:t>
            </w:r>
          </w:p>
        </w:tc>
        <w:tc>
          <w:tcPr>
            <w:tcW w:w="1372" w:type="dxa"/>
          </w:tcPr>
          <w:p w:rsidR="00780A22" w:rsidRPr="00A52B58" w:rsidRDefault="00780A22" w:rsidP="00780A22">
            <w:pPr>
              <w:spacing w:line="276" w:lineRule="auto"/>
              <w:jc w:val="center"/>
              <w:rPr>
                <w:sz w:val="24"/>
                <w:szCs w:val="24"/>
              </w:rPr>
            </w:pPr>
            <w:r w:rsidRPr="00855524">
              <w:rPr>
                <w:sz w:val="24"/>
                <w:szCs w:val="24"/>
                <w:lang w:val="en-US"/>
              </w:rPr>
              <w:t>0</w:t>
            </w:r>
            <w:r>
              <w:rPr>
                <w:sz w:val="24"/>
                <w:szCs w:val="24"/>
              </w:rPr>
              <w:t>,8420</w:t>
            </w:r>
          </w:p>
        </w:tc>
      </w:tr>
      <w:tr w:rsidR="00780A22" w:rsidRPr="00855524" w:rsidTr="00780A22">
        <w:trPr>
          <w:trHeight w:val="214"/>
        </w:trPr>
        <w:tc>
          <w:tcPr>
            <w:tcW w:w="3532" w:type="dxa"/>
          </w:tcPr>
          <w:p w:rsidR="00780A22" w:rsidRPr="00855524" w:rsidRDefault="00780A22" w:rsidP="00780A22">
            <w:pPr>
              <w:jc w:val="center"/>
              <w:rPr>
                <w:sz w:val="24"/>
                <w:szCs w:val="24"/>
                <w:lang w:val="en-US"/>
              </w:rPr>
            </w:pPr>
            <w:r>
              <w:rPr>
                <w:sz w:val="24"/>
                <w:szCs w:val="24"/>
              </w:rPr>
              <w:t xml:space="preserve">Κρεατινίνη Ορού </w:t>
            </w:r>
            <w:r w:rsidRPr="00855524">
              <w:rPr>
                <w:sz w:val="24"/>
                <w:szCs w:val="24"/>
                <w:lang w:val="en-US"/>
              </w:rPr>
              <w:t>(mg/dL)</w:t>
            </w:r>
          </w:p>
        </w:tc>
        <w:tc>
          <w:tcPr>
            <w:tcW w:w="3038" w:type="dxa"/>
          </w:tcPr>
          <w:p w:rsidR="00780A22" w:rsidRPr="00855524" w:rsidRDefault="00780A22" w:rsidP="00780A22">
            <w:pPr>
              <w:jc w:val="center"/>
              <w:rPr>
                <w:sz w:val="24"/>
                <w:szCs w:val="24"/>
                <w:lang w:val="en-US"/>
              </w:rPr>
            </w:pPr>
            <w:r w:rsidRPr="00855524">
              <w:rPr>
                <w:sz w:val="24"/>
                <w:szCs w:val="24"/>
                <w:lang w:val="en-US"/>
              </w:rPr>
              <w:t>1</w:t>
            </w:r>
            <w:r>
              <w:rPr>
                <w:sz w:val="24"/>
                <w:szCs w:val="24"/>
              </w:rPr>
              <w:t>,</w:t>
            </w:r>
            <w:r w:rsidRPr="00855524">
              <w:rPr>
                <w:sz w:val="24"/>
                <w:szCs w:val="24"/>
                <w:lang w:val="en-US"/>
              </w:rPr>
              <w:t>1</w:t>
            </w:r>
            <w:r>
              <w:rPr>
                <w:sz w:val="24"/>
                <w:szCs w:val="24"/>
              </w:rPr>
              <w:t>2</w:t>
            </w:r>
            <w:r w:rsidRPr="00855524">
              <w:rPr>
                <w:sz w:val="24"/>
                <w:szCs w:val="24"/>
                <w:lang w:val="en-US"/>
              </w:rPr>
              <w:t xml:space="preserve"> (0</w:t>
            </w:r>
            <w:r>
              <w:rPr>
                <w:sz w:val="24"/>
                <w:szCs w:val="24"/>
              </w:rPr>
              <w:t>,</w:t>
            </w:r>
            <w:r w:rsidRPr="00855524">
              <w:rPr>
                <w:sz w:val="24"/>
                <w:szCs w:val="24"/>
                <w:lang w:val="en-US"/>
              </w:rPr>
              <w:t>53-12</w:t>
            </w:r>
            <w:r>
              <w:rPr>
                <w:sz w:val="24"/>
                <w:szCs w:val="24"/>
              </w:rPr>
              <w:t>,</w:t>
            </w:r>
            <w:r w:rsidRPr="00855524">
              <w:rPr>
                <w:sz w:val="24"/>
                <w:szCs w:val="24"/>
                <w:lang w:val="en-US"/>
              </w:rPr>
              <w:t>6)</w:t>
            </w:r>
          </w:p>
        </w:tc>
        <w:tc>
          <w:tcPr>
            <w:tcW w:w="2678" w:type="dxa"/>
          </w:tcPr>
          <w:p w:rsidR="00780A22" w:rsidRPr="00855524" w:rsidRDefault="00780A22" w:rsidP="00780A22">
            <w:pPr>
              <w:jc w:val="center"/>
              <w:rPr>
                <w:sz w:val="24"/>
                <w:szCs w:val="24"/>
                <w:lang w:val="en-US"/>
              </w:rPr>
            </w:pPr>
            <w:r w:rsidRPr="00855524">
              <w:rPr>
                <w:sz w:val="24"/>
                <w:szCs w:val="24"/>
                <w:lang w:val="en-US"/>
              </w:rPr>
              <w:t>0</w:t>
            </w:r>
            <w:r>
              <w:rPr>
                <w:sz w:val="24"/>
                <w:szCs w:val="24"/>
              </w:rPr>
              <w:t>,89</w:t>
            </w:r>
            <w:r w:rsidRPr="00855524">
              <w:rPr>
                <w:sz w:val="24"/>
                <w:szCs w:val="24"/>
                <w:lang w:val="en-US"/>
              </w:rPr>
              <w:t xml:space="preserve"> (0</w:t>
            </w:r>
            <w:r>
              <w:rPr>
                <w:sz w:val="24"/>
                <w:szCs w:val="24"/>
              </w:rPr>
              <w:t>,</w:t>
            </w:r>
            <w:r w:rsidRPr="00855524">
              <w:rPr>
                <w:sz w:val="24"/>
                <w:szCs w:val="24"/>
                <w:lang w:val="en-US"/>
              </w:rPr>
              <w:t>42-12</w:t>
            </w:r>
            <w:r>
              <w:rPr>
                <w:sz w:val="24"/>
                <w:szCs w:val="24"/>
              </w:rPr>
              <w:t>,</w:t>
            </w:r>
            <w:r w:rsidRPr="00855524">
              <w:rPr>
                <w:sz w:val="24"/>
                <w:szCs w:val="24"/>
                <w:lang w:val="en-US"/>
              </w:rPr>
              <w:t>5)</w:t>
            </w:r>
          </w:p>
        </w:tc>
        <w:tc>
          <w:tcPr>
            <w:tcW w:w="1372" w:type="dxa"/>
          </w:tcPr>
          <w:p w:rsidR="00780A22" w:rsidRPr="00A52B58" w:rsidRDefault="00780A22" w:rsidP="00780A22">
            <w:pPr>
              <w:jc w:val="center"/>
              <w:rPr>
                <w:sz w:val="24"/>
                <w:szCs w:val="24"/>
              </w:rPr>
            </w:pPr>
            <w:r w:rsidRPr="00855524">
              <w:rPr>
                <w:sz w:val="24"/>
                <w:szCs w:val="24"/>
                <w:lang w:val="en-US"/>
              </w:rPr>
              <w:t>0</w:t>
            </w:r>
            <w:r>
              <w:rPr>
                <w:sz w:val="24"/>
                <w:szCs w:val="24"/>
              </w:rPr>
              <w:t>,</w:t>
            </w:r>
            <w:r w:rsidRPr="00855524">
              <w:rPr>
                <w:sz w:val="24"/>
                <w:szCs w:val="24"/>
                <w:lang w:val="en-US"/>
              </w:rPr>
              <w:t>6</w:t>
            </w:r>
            <w:r>
              <w:rPr>
                <w:sz w:val="24"/>
                <w:szCs w:val="24"/>
              </w:rPr>
              <w:t>549</w:t>
            </w:r>
          </w:p>
        </w:tc>
      </w:tr>
      <w:tr w:rsidR="00780A22" w:rsidRPr="00855524" w:rsidTr="00780A22">
        <w:trPr>
          <w:trHeight w:val="277"/>
        </w:trPr>
        <w:tc>
          <w:tcPr>
            <w:tcW w:w="3532" w:type="dxa"/>
          </w:tcPr>
          <w:p w:rsidR="00780A22" w:rsidRPr="00855524" w:rsidRDefault="00780A22" w:rsidP="00780A22">
            <w:pPr>
              <w:jc w:val="center"/>
              <w:rPr>
                <w:sz w:val="24"/>
                <w:szCs w:val="24"/>
                <w:lang w:val="en-US"/>
              </w:rPr>
            </w:pPr>
            <w:r>
              <w:rPr>
                <w:sz w:val="24"/>
                <w:szCs w:val="24"/>
              </w:rPr>
              <w:t>Ασβέστιο Ορού</w:t>
            </w:r>
            <w:r w:rsidRPr="00855524">
              <w:rPr>
                <w:sz w:val="24"/>
                <w:szCs w:val="24"/>
                <w:lang w:val="en-US"/>
              </w:rPr>
              <w:t xml:space="preserve"> (mg/dL)</w:t>
            </w:r>
          </w:p>
        </w:tc>
        <w:tc>
          <w:tcPr>
            <w:tcW w:w="3038" w:type="dxa"/>
          </w:tcPr>
          <w:p w:rsidR="00780A22" w:rsidRPr="00855524" w:rsidRDefault="00780A22" w:rsidP="00780A22">
            <w:pPr>
              <w:jc w:val="center"/>
              <w:rPr>
                <w:sz w:val="24"/>
                <w:szCs w:val="24"/>
                <w:lang w:val="en-US"/>
              </w:rPr>
            </w:pPr>
            <w:r w:rsidRPr="00855524">
              <w:rPr>
                <w:sz w:val="24"/>
                <w:szCs w:val="24"/>
                <w:lang w:val="en-US"/>
              </w:rPr>
              <w:t>9</w:t>
            </w:r>
            <w:r>
              <w:rPr>
                <w:sz w:val="24"/>
                <w:szCs w:val="24"/>
              </w:rPr>
              <w:t>,</w:t>
            </w:r>
            <w:r w:rsidRPr="00855524">
              <w:rPr>
                <w:sz w:val="24"/>
                <w:szCs w:val="24"/>
                <w:lang w:val="en-US"/>
              </w:rPr>
              <w:t>8 (8</w:t>
            </w:r>
            <w:r>
              <w:rPr>
                <w:sz w:val="24"/>
                <w:szCs w:val="24"/>
              </w:rPr>
              <w:t>,</w:t>
            </w:r>
            <w:r w:rsidRPr="00855524">
              <w:rPr>
                <w:sz w:val="24"/>
                <w:szCs w:val="24"/>
                <w:lang w:val="en-US"/>
              </w:rPr>
              <w:t>7-12</w:t>
            </w:r>
            <w:r>
              <w:rPr>
                <w:sz w:val="24"/>
                <w:szCs w:val="24"/>
              </w:rPr>
              <w:t>,6</w:t>
            </w:r>
            <w:r w:rsidRPr="00855524">
              <w:rPr>
                <w:sz w:val="24"/>
                <w:szCs w:val="24"/>
                <w:lang w:val="en-US"/>
              </w:rPr>
              <w:t>)</w:t>
            </w:r>
          </w:p>
        </w:tc>
        <w:tc>
          <w:tcPr>
            <w:tcW w:w="2678" w:type="dxa"/>
          </w:tcPr>
          <w:p w:rsidR="00780A22" w:rsidRPr="00855524" w:rsidRDefault="00780A22" w:rsidP="00780A22">
            <w:pPr>
              <w:jc w:val="center"/>
              <w:rPr>
                <w:sz w:val="24"/>
                <w:szCs w:val="24"/>
                <w:lang w:val="en-US"/>
              </w:rPr>
            </w:pPr>
            <w:r w:rsidRPr="00855524">
              <w:rPr>
                <w:sz w:val="24"/>
                <w:szCs w:val="24"/>
                <w:lang w:val="en-US"/>
              </w:rPr>
              <w:t>9</w:t>
            </w:r>
            <w:r>
              <w:rPr>
                <w:sz w:val="24"/>
                <w:szCs w:val="24"/>
              </w:rPr>
              <w:t>,</w:t>
            </w:r>
            <w:r w:rsidRPr="00855524">
              <w:rPr>
                <w:sz w:val="24"/>
                <w:szCs w:val="24"/>
                <w:lang w:val="en-US"/>
              </w:rPr>
              <w:t>6 (8</w:t>
            </w:r>
            <w:r>
              <w:rPr>
                <w:sz w:val="24"/>
                <w:szCs w:val="24"/>
              </w:rPr>
              <w:t>,</w:t>
            </w:r>
            <w:r w:rsidRPr="00855524">
              <w:rPr>
                <w:sz w:val="24"/>
                <w:szCs w:val="24"/>
                <w:lang w:val="en-US"/>
              </w:rPr>
              <w:t>0-11</w:t>
            </w:r>
            <w:r>
              <w:rPr>
                <w:sz w:val="24"/>
                <w:szCs w:val="24"/>
              </w:rPr>
              <w:t>,</w:t>
            </w:r>
            <w:r w:rsidRPr="00855524">
              <w:rPr>
                <w:sz w:val="24"/>
                <w:szCs w:val="24"/>
                <w:lang w:val="en-US"/>
              </w:rPr>
              <w:t>9)</w:t>
            </w:r>
          </w:p>
        </w:tc>
        <w:tc>
          <w:tcPr>
            <w:tcW w:w="1372" w:type="dxa"/>
          </w:tcPr>
          <w:p w:rsidR="00780A22" w:rsidRPr="00A52B58" w:rsidRDefault="00780A22" w:rsidP="00780A22">
            <w:pPr>
              <w:spacing w:line="276" w:lineRule="auto"/>
              <w:jc w:val="center"/>
              <w:rPr>
                <w:sz w:val="24"/>
                <w:szCs w:val="24"/>
              </w:rPr>
            </w:pPr>
            <w:r w:rsidRPr="00855524">
              <w:rPr>
                <w:sz w:val="24"/>
                <w:szCs w:val="24"/>
                <w:lang w:val="en-US"/>
              </w:rPr>
              <w:t>0</w:t>
            </w:r>
            <w:r>
              <w:rPr>
                <w:sz w:val="24"/>
                <w:szCs w:val="24"/>
              </w:rPr>
              <w:t>,</w:t>
            </w:r>
            <w:r w:rsidRPr="00855524">
              <w:rPr>
                <w:sz w:val="24"/>
                <w:szCs w:val="24"/>
                <w:lang w:val="en-US"/>
              </w:rPr>
              <w:t>0</w:t>
            </w:r>
            <w:r>
              <w:rPr>
                <w:sz w:val="24"/>
                <w:szCs w:val="24"/>
              </w:rPr>
              <w:t>826</w:t>
            </w:r>
          </w:p>
        </w:tc>
      </w:tr>
      <w:tr w:rsidR="00780A22" w:rsidRPr="00855524" w:rsidTr="00780A22">
        <w:trPr>
          <w:trHeight w:val="232"/>
        </w:trPr>
        <w:tc>
          <w:tcPr>
            <w:tcW w:w="3532" w:type="dxa"/>
          </w:tcPr>
          <w:p w:rsidR="00780A22" w:rsidRPr="007D45C5" w:rsidRDefault="00780A22" w:rsidP="00780A22">
            <w:pPr>
              <w:jc w:val="center"/>
              <w:rPr>
                <w:sz w:val="24"/>
                <w:szCs w:val="24"/>
              </w:rPr>
            </w:pPr>
            <w:r>
              <w:rPr>
                <w:sz w:val="24"/>
                <w:szCs w:val="24"/>
              </w:rPr>
              <w:t>β2 μικροσφαιρίνη ορού</w:t>
            </w:r>
            <w:r w:rsidRPr="007D45C5">
              <w:rPr>
                <w:sz w:val="24"/>
                <w:szCs w:val="24"/>
              </w:rPr>
              <w:t xml:space="preserve"> (</w:t>
            </w:r>
            <w:r w:rsidRPr="00855524">
              <w:rPr>
                <w:sz w:val="24"/>
                <w:szCs w:val="24"/>
                <w:lang w:val="en-US"/>
              </w:rPr>
              <w:t>mg</w:t>
            </w:r>
            <w:r w:rsidRPr="007D45C5">
              <w:rPr>
                <w:sz w:val="24"/>
                <w:szCs w:val="24"/>
              </w:rPr>
              <w:t>/</w:t>
            </w:r>
            <w:r w:rsidRPr="00855524">
              <w:rPr>
                <w:sz w:val="24"/>
                <w:szCs w:val="24"/>
                <w:lang w:val="en-US"/>
              </w:rPr>
              <w:t>L</w:t>
            </w:r>
            <w:r w:rsidRPr="007D45C5">
              <w:rPr>
                <w:sz w:val="24"/>
                <w:szCs w:val="24"/>
              </w:rPr>
              <w:t>)</w:t>
            </w:r>
          </w:p>
        </w:tc>
        <w:tc>
          <w:tcPr>
            <w:tcW w:w="3038" w:type="dxa"/>
          </w:tcPr>
          <w:p w:rsidR="00780A22" w:rsidRPr="00855524" w:rsidRDefault="00780A22" w:rsidP="00780A22">
            <w:pPr>
              <w:jc w:val="center"/>
              <w:rPr>
                <w:sz w:val="24"/>
                <w:szCs w:val="24"/>
                <w:lang w:val="en-US"/>
              </w:rPr>
            </w:pPr>
            <w:r w:rsidRPr="00855524">
              <w:rPr>
                <w:sz w:val="24"/>
                <w:szCs w:val="24"/>
                <w:lang w:val="en-US"/>
              </w:rPr>
              <w:t>4</w:t>
            </w:r>
            <w:r>
              <w:rPr>
                <w:sz w:val="24"/>
                <w:szCs w:val="24"/>
              </w:rPr>
              <w:t>,</w:t>
            </w:r>
            <w:r w:rsidRPr="00855524">
              <w:rPr>
                <w:sz w:val="24"/>
                <w:szCs w:val="24"/>
                <w:lang w:val="en-US"/>
              </w:rPr>
              <w:t>48 (1</w:t>
            </w:r>
            <w:r>
              <w:rPr>
                <w:sz w:val="24"/>
                <w:szCs w:val="24"/>
              </w:rPr>
              <w:t>,</w:t>
            </w:r>
            <w:r w:rsidRPr="00855524">
              <w:rPr>
                <w:sz w:val="24"/>
                <w:szCs w:val="24"/>
                <w:lang w:val="en-US"/>
              </w:rPr>
              <w:t>57-1</w:t>
            </w:r>
            <w:r>
              <w:rPr>
                <w:sz w:val="24"/>
                <w:szCs w:val="24"/>
              </w:rPr>
              <w:t>8,1</w:t>
            </w:r>
            <w:r w:rsidRPr="00855524">
              <w:rPr>
                <w:sz w:val="24"/>
                <w:szCs w:val="24"/>
                <w:lang w:val="en-US"/>
              </w:rPr>
              <w:t>)</w:t>
            </w:r>
          </w:p>
        </w:tc>
        <w:tc>
          <w:tcPr>
            <w:tcW w:w="2678" w:type="dxa"/>
          </w:tcPr>
          <w:p w:rsidR="00780A22" w:rsidRPr="00855524" w:rsidRDefault="00780A22" w:rsidP="00780A22">
            <w:pPr>
              <w:jc w:val="center"/>
              <w:rPr>
                <w:sz w:val="24"/>
                <w:szCs w:val="24"/>
                <w:lang w:val="en-US"/>
              </w:rPr>
            </w:pPr>
            <w:r w:rsidRPr="00855524">
              <w:rPr>
                <w:sz w:val="24"/>
                <w:szCs w:val="24"/>
                <w:lang w:val="en-US"/>
              </w:rPr>
              <w:t>2</w:t>
            </w:r>
            <w:r>
              <w:rPr>
                <w:sz w:val="24"/>
                <w:szCs w:val="24"/>
              </w:rPr>
              <w:t>,</w:t>
            </w:r>
            <w:r w:rsidRPr="00855524">
              <w:rPr>
                <w:sz w:val="24"/>
                <w:szCs w:val="24"/>
                <w:lang w:val="en-US"/>
              </w:rPr>
              <w:t>32 (1</w:t>
            </w:r>
            <w:r>
              <w:rPr>
                <w:sz w:val="24"/>
                <w:szCs w:val="24"/>
              </w:rPr>
              <w:t>,</w:t>
            </w:r>
            <w:r w:rsidRPr="00855524">
              <w:rPr>
                <w:sz w:val="24"/>
                <w:szCs w:val="24"/>
                <w:lang w:val="en-US"/>
              </w:rPr>
              <w:t>05-20</w:t>
            </w:r>
            <w:r>
              <w:rPr>
                <w:sz w:val="24"/>
                <w:szCs w:val="24"/>
              </w:rPr>
              <w:t>,</w:t>
            </w:r>
            <w:r w:rsidRPr="00855524">
              <w:rPr>
                <w:sz w:val="24"/>
                <w:szCs w:val="24"/>
                <w:lang w:val="en-US"/>
              </w:rPr>
              <w:t>2)</w:t>
            </w:r>
          </w:p>
        </w:tc>
        <w:tc>
          <w:tcPr>
            <w:tcW w:w="1372" w:type="dxa"/>
          </w:tcPr>
          <w:p w:rsidR="00780A22" w:rsidRPr="00A52B58" w:rsidRDefault="00780A22" w:rsidP="00780A22">
            <w:pPr>
              <w:spacing w:line="276" w:lineRule="auto"/>
              <w:jc w:val="center"/>
              <w:rPr>
                <w:sz w:val="24"/>
                <w:szCs w:val="24"/>
              </w:rPr>
            </w:pPr>
            <w:r w:rsidRPr="00855524">
              <w:rPr>
                <w:sz w:val="24"/>
                <w:szCs w:val="24"/>
                <w:lang w:val="en-US"/>
              </w:rPr>
              <w:t>0</w:t>
            </w:r>
            <w:r>
              <w:rPr>
                <w:sz w:val="24"/>
                <w:szCs w:val="24"/>
              </w:rPr>
              <w:t>,</w:t>
            </w:r>
            <w:r w:rsidRPr="00855524">
              <w:rPr>
                <w:sz w:val="24"/>
                <w:szCs w:val="24"/>
                <w:lang w:val="en-US"/>
              </w:rPr>
              <w:t>1</w:t>
            </w:r>
            <w:r>
              <w:rPr>
                <w:sz w:val="24"/>
                <w:szCs w:val="24"/>
              </w:rPr>
              <w:t>588</w:t>
            </w:r>
          </w:p>
        </w:tc>
      </w:tr>
      <w:tr w:rsidR="00780A22" w:rsidRPr="00855524" w:rsidTr="00780A22">
        <w:trPr>
          <w:trHeight w:val="196"/>
        </w:trPr>
        <w:tc>
          <w:tcPr>
            <w:tcW w:w="3532" w:type="dxa"/>
          </w:tcPr>
          <w:p w:rsidR="00780A22" w:rsidRPr="00855524" w:rsidRDefault="00780A22" w:rsidP="00780A22">
            <w:pPr>
              <w:jc w:val="center"/>
              <w:rPr>
                <w:sz w:val="24"/>
                <w:szCs w:val="24"/>
                <w:lang w:val="en-US"/>
              </w:rPr>
            </w:pPr>
            <w:r>
              <w:rPr>
                <w:sz w:val="24"/>
                <w:szCs w:val="24"/>
                <w:lang w:val="en-US"/>
              </w:rPr>
              <w:t xml:space="preserve">LDH </w:t>
            </w:r>
            <w:r>
              <w:rPr>
                <w:sz w:val="24"/>
                <w:szCs w:val="24"/>
              </w:rPr>
              <w:t>ορού</w:t>
            </w:r>
            <w:r w:rsidRPr="00855524">
              <w:rPr>
                <w:sz w:val="24"/>
                <w:szCs w:val="24"/>
                <w:lang w:val="en-US"/>
              </w:rPr>
              <w:t xml:space="preserve"> (U/L)</w:t>
            </w:r>
          </w:p>
        </w:tc>
        <w:tc>
          <w:tcPr>
            <w:tcW w:w="3038" w:type="dxa"/>
          </w:tcPr>
          <w:p w:rsidR="00780A22" w:rsidRPr="00855524" w:rsidRDefault="00780A22" w:rsidP="00780A22">
            <w:pPr>
              <w:jc w:val="center"/>
              <w:rPr>
                <w:sz w:val="24"/>
                <w:szCs w:val="24"/>
                <w:lang w:val="en-US"/>
              </w:rPr>
            </w:pPr>
            <w:r w:rsidRPr="00855524">
              <w:rPr>
                <w:sz w:val="24"/>
                <w:szCs w:val="24"/>
                <w:lang w:val="en-US"/>
              </w:rPr>
              <w:t>180 (106-300)</w:t>
            </w:r>
          </w:p>
        </w:tc>
        <w:tc>
          <w:tcPr>
            <w:tcW w:w="2678" w:type="dxa"/>
          </w:tcPr>
          <w:p w:rsidR="00780A22" w:rsidRPr="00855524" w:rsidRDefault="00780A22" w:rsidP="00780A22">
            <w:pPr>
              <w:jc w:val="center"/>
              <w:rPr>
                <w:sz w:val="24"/>
                <w:szCs w:val="24"/>
                <w:lang w:val="en-US"/>
              </w:rPr>
            </w:pPr>
            <w:r w:rsidRPr="00855524">
              <w:rPr>
                <w:sz w:val="24"/>
                <w:szCs w:val="24"/>
                <w:lang w:val="en-US"/>
              </w:rPr>
              <w:t>178 (74-408)</w:t>
            </w:r>
          </w:p>
        </w:tc>
        <w:tc>
          <w:tcPr>
            <w:tcW w:w="1372" w:type="dxa"/>
          </w:tcPr>
          <w:p w:rsidR="00780A22" w:rsidRPr="005A642B" w:rsidRDefault="00780A22" w:rsidP="00780A22">
            <w:pPr>
              <w:spacing w:line="276" w:lineRule="auto"/>
              <w:jc w:val="center"/>
              <w:rPr>
                <w:sz w:val="24"/>
                <w:szCs w:val="24"/>
              </w:rPr>
            </w:pPr>
            <w:r w:rsidRPr="00855524">
              <w:rPr>
                <w:sz w:val="24"/>
                <w:szCs w:val="24"/>
                <w:lang w:val="en-US"/>
              </w:rPr>
              <w:t>0</w:t>
            </w:r>
            <w:r>
              <w:rPr>
                <w:sz w:val="24"/>
                <w:szCs w:val="24"/>
              </w:rPr>
              <w:t>,9420</w:t>
            </w:r>
          </w:p>
        </w:tc>
      </w:tr>
      <w:tr w:rsidR="00780A22" w:rsidRPr="00855524" w:rsidTr="00780A22">
        <w:trPr>
          <w:trHeight w:val="349"/>
        </w:trPr>
        <w:tc>
          <w:tcPr>
            <w:tcW w:w="3532" w:type="dxa"/>
          </w:tcPr>
          <w:p w:rsidR="00780A22" w:rsidRPr="00855524" w:rsidRDefault="00780A22" w:rsidP="00780A22">
            <w:pPr>
              <w:jc w:val="center"/>
              <w:rPr>
                <w:sz w:val="24"/>
                <w:szCs w:val="24"/>
                <w:lang w:val="en-US"/>
              </w:rPr>
            </w:pPr>
            <w:r>
              <w:rPr>
                <w:sz w:val="24"/>
                <w:szCs w:val="24"/>
              </w:rPr>
              <w:t>Διήθηση Μυελού</w:t>
            </w:r>
            <w:r w:rsidRPr="00855524">
              <w:rPr>
                <w:sz w:val="24"/>
                <w:szCs w:val="24"/>
                <w:lang w:val="en-US"/>
              </w:rPr>
              <w:t xml:space="preserve"> (%)</w:t>
            </w:r>
          </w:p>
        </w:tc>
        <w:tc>
          <w:tcPr>
            <w:tcW w:w="3038" w:type="dxa"/>
          </w:tcPr>
          <w:p w:rsidR="00780A22" w:rsidRPr="00855524" w:rsidRDefault="00780A22" w:rsidP="00780A22">
            <w:pPr>
              <w:jc w:val="center"/>
              <w:rPr>
                <w:sz w:val="24"/>
                <w:szCs w:val="24"/>
                <w:lang w:val="en-US"/>
              </w:rPr>
            </w:pPr>
            <w:r w:rsidRPr="00855524">
              <w:rPr>
                <w:sz w:val="24"/>
                <w:szCs w:val="24"/>
                <w:lang w:val="en-US"/>
              </w:rPr>
              <w:t>40 (</w:t>
            </w:r>
            <w:r w:rsidRPr="00855524">
              <w:rPr>
                <w:sz w:val="24"/>
                <w:szCs w:val="24"/>
              </w:rPr>
              <w:t>10</w:t>
            </w:r>
            <w:r w:rsidRPr="00855524">
              <w:rPr>
                <w:sz w:val="24"/>
                <w:szCs w:val="24"/>
                <w:lang w:val="en-US"/>
              </w:rPr>
              <w:t>-95)</w:t>
            </w:r>
          </w:p>
        </w:tc>
        <w:tc>
          <w:tcPr>
            <w:tcW w:w="2678" w:type="dxa"/>
          </w:tcPr>
          <w:p w:rsidR="00780A22" w:rsidRPr="00855524" w:rsidRDefault="00780A22" w:rsidP="00780A22">
            <w:pPr>
              <w:jc w:val="center"/>
              <w:rPr>
                <w:sz w:val="24"/>
                <w:szCs w:val="24"/>
                <w:lang w:val="en-US"/>
              </w:rPr>
            </w:pPr>
            <w:r w:rsidRPr="00855524">
              <w:rPr>
                <w:sz w:val="24"/>
                <w:szCs w:val="24"/>
                <w:lang w:val="en-US"/>
              </w:rPr>
              <w:t>60 (</w:t>
            </w:r>
            <w:r w:rsidRPr="00855524">
              <w:rPr>
                <w:sz w:val="24"/>
                <w:szCs w:val="24"/>
              </w:rPr>
              <w:t>8</w:t>
            </w:r>
            <w:r w:rsidRPr="00855524">
              <w:rPr>
                <w:sz w:val="24"/>
                <w:szCs w:val="24"/>
                <w:lang w:val="en-US"/>
              </w:rPr>
              <w:t>-100)</w:t>
            </w:r>
          </w:p>
        </w:tc>
        <w:tc>
          <w:tcPr>
            <w:tcW w:w="1372" w:type="dxa"/>
          </w:tcPr>
          <w:p w:rsidR="00780A22" w:rsidRPr="00A52B58" w:rsidRDefault="00780A22" w:rsidP="00780A22">
            <w:pPr>
              <w:spacing w:line="276" w:lineRule="auto"/>
              <w:jc w:val="center"/>
              <w:rPr>
                <w:sz w:val="24"/>
                <w:szCs w:val="24"/>
              </w:rPr>
            </w:pPr>
            <w:r w:rsidRPr="00855524">
              <w:rPr>
                <w:sz w:val="24"/>
                <w:szCs w:val="24"/>
                <w:lang w:val="en-US"/>
              </w:rPr>
              <w:t>0</w:t>
            </w:r>
            <w:r>
              <w:rPr>
                <w:sz w:val="24"/>
                <w:szCs w:val="24"/>
              </w:rPr>
              <w:t>,</w:t>
            </w:r>
            <w:r w:rsidRPr="00855524">
              <w:rPr>
                <w:sz w:val="24"/>
                <w:szCs w:val="24"/>
                <w:lang w:val="en-US"/>
              </w:rPr>
              <w:t>0</w:t>
            </w:r>
            <w:r>
              <w:rPr>
                <w:sz w:val="24"/>
                <w:szCs w:val="24"/>
              </w:rPr>
              <w:t>680</w:t>
            </w:r>
          </w:p>
        </w:tc>
      </w:tr>
      <w:tr w:rsidR="00780A22" w:rsidRPr="00855524" w:rsidTr="00780A22">
        <w:trPr>
          <w:trHeight w:val="534"/>
        </w:trPr>
        <w:tc>
          <w:tcPr>
            <w:tcW w:w="3532" w:type="dxa"/>
          </w:tcPr>
          <w:p w:rsidR="00780A22" w:rsidRPr="007D45C5" w:rsidRDefault="00780A22" w:rsidP="00780A22">
            <w:pPr>
              <w:jc w:val="center"/>
              <w:rPr>
                <w:sz w:val="24"/>
                <w:szCs w:val="24"/>
              </w:rPr>
            </w:pPr>
            <w:r w:rsidRPr="00855524">
              <w:rPr>
                <w:sz w:val="24"/>
                <w:szCs w:val="24"/>
                <w:lang w:val="en-US"/>
              </w:rPr>
              <w:t xml:space="preserve">ISS </w:t>
            </w:r>
            <w:r>
              <w:rPr>
                <w:sz w:val="24"/>
                <w:szCs w:val="24"/>
              </w:rPr>
              <w:t>στάδιο</w:t>
            </w:r>
          </w:p>
          <w:p w:rsidR="00780A22" w:rsidRPr="00855524" w:rsidRDefault="00780A22" w:rsidP="00780A22">
            <w:pPr>
              <w:jc w:val="center"/>
              <w:rPr>
                <w:sz w:val="24"/>
                <w:szCs w:val="24"/>
                <w:lang w:val="en-US"/>
              </w:rPr>
            </w:pPr>
            <w:r w:rsidRPr="00855524">
              <w:rPr>
                <w:sz w:val="24"/>
                <w:szCs w:val="24"/>
                <w:lang w:val="en-US"/>
              </w:rPr>
              <w:t>I</w:t>
            </w:r>
          </w:p>
          <w:p w:rsidR="00780A22" w:rsidRPr="00855524" w:rsidRDefault="00780A22" w:rsidP="00780A22">
            <w:pPr>
              <w:jc w:val="center"/>
              <w:rPr>
                <w:sz w:val="24"/>
                <w:szCs w:val="24"/>
                <w:lang w:val="en-US"/>
              </w:rPr>
            </w:pPr>
            <w:r w:rsidRPr="00855524">
              <w:rPr>
                <w:sz w:val="24"/>
                <w:szCs w:val="24"/>
                <w:lang w:val="en-US"/>
              </w:rPr>
              <w:t>II</w:t>
            </w:r>
          </w:p>
          <w:p w:rsidR="00780A22" w:rsidRPr="00855524" w:rsidRDefault="00780A22" w:rsidP="00780A22">
            <w:pPr>
              <w:jc w:val="center"/>
              <w:rPr>
                <w:sz w:val="24"/>
                <w:szCs w:val="24"/>
                <w:lang w:val="en-US"/>
              </w:rPr>
            </w:pPr>
            <w:r w:rsidRPr="00855524">
              <w:rPr>
                <w:sz w:val="24"/>
                <w:szCs w:val="24"/>
                <w:lang w:val="en-US"/>
              </w:rPr>
              <w:t>III</w:t>
            </w:r>
          </w:p>
        </w:tc>
        <w:tc>
          <w:tcPr>
            <w:tcW w:w="3038" w:type="dxa"/>
          </w:tcPr>
          <w:p w:rsidR="00780A22" w:rsidRPr="00855524" w:rsidRDefault="00780A22" w:rsidP="00780A22">
            <w:pPr>
              <w:jc w:val="center"/>
              <w:rPr>
                <w:sz w:val="24"/>
                <w:szCs w:val="24"/>
                <w:lang w:val="en-US"/>
              </w:rPr>
            </w:pPr>
          </w:p>
          <w:p w:rsidR="00780A22" w:rsidRPr="00855524" w:rsidRDefault="00780A22" w:rsidP="00780A22">
            <w:pPr>
              <w:jc w:val="center"/>
              <w:rPr>
                <w:sz w:val="24"/>
                <w:szCs w:val="24"/>
                <w:lang w:val="en-US"/>
              </w:rPr>
            </w:pPr>
            <w:r>
              <w:rPr>
                <w:sz w:val="24"/>
                <w:szCs w:val="24"/>
              </w:rPr>
              <w:t>9</w:t>
            </w:r>
            <w:r w:rsidRPr="00855524">
              <w:rPr>
                <w:sz w:val="24"/>
                <w:szCs w:val="24"/>
              </w:rPr>
              <w:t>/2</w:t>
            </w:r>
            <w:r>
              <w:rPr>
                <w:sz w:val="24"/>
                <w:szCs w:val="24"/>
              </w:rPr>
              <w:t>6</w:t>
            </w:r>
            <w:r w:rsidRPr="00855524">
              <w:rPr>
                <w:sz w:val="24"/>
                <w:szCs w:val="24"/>
                <w:lang w:val="en-US"/>
              </w:rPr>
              <w:t xml:space="preserve"> (34</w:t>
            </w:r>
            <w:r>
              <w:rPr>
                <w:sz w:val="24"/>
                <w:szCs w:val="24"/>
              </w:rPr>
              <w:t>,6</w:t>
            </w:r>
            <w:r w:rsidRPr="00855524">
              <w:rPr>
                <w:sz w:val="24"/>
                <w:szCs w:val="24"/>
                <w:lang w:val="en-US"/>
              </w:rPr>
              <w:t>%)</w:t>
            </w:r>
          </w:p>
          <w:p w:rsidR="00780A22" w:rsidRPr="00855524" w:rsidRDefault="00780A22" w:rsidP="00780A22">
            <w:pPr>
              <w:jc w:val="center"/>
              <w:rPr>
                <w:sz w:val="24"/>
                <w:szCs w:val="24"/>
                <w:lang w:val="en-US"/>
              </w:rPr>
            </w:pPr>
            <w:r>
              <w:rPr>
                <w:sz w:val="24"/>
                <w:szCs w:val="24"/>
              </w:rPr>
              <w:t>9</w:t>
            </w:r>
            <w:r w:rsidRPr="00855524">
              <w:rPr>
                <w:sz w:val="24"/>
                <w:szCs w:val="24"/>
              </w:rPr>
              <w:t>/2</w:t>
            </w:r>
            <w:r>
              <w:rPr>
                <w:sz w:val="24"/>
                <w:szCs w:val="24"/>
              </w:rPr>
              <w:t>6</w:t>
            </w:r>
            <w:r w:rsidRPr="00855524">
              <w:rPr>
                <w:sz w:val="24"/>
                <w:szCs w:val="24"/>
                <w:lang w:val="en-US"/>
              </w:rPr>
              <w:t xml:space="preserve"> (34</w:t>
            </w:r>
            <w:r>
              <w:rPr>
                <w:sz w:val="24"/>
                <w:szCs w:val="24"/>
              </w:rPr>
              <w:t>,6</w:t>
            </w:r>
            <w:r w:rsidRPr="00855524">
              <w:rPr>
                <w:sz w:val="24"/>
                <w:szCs w:val="24"/>
                <w:lang w:val="en-US"/>
              </w:rPr>
              <w:t>%)</w:t>
            </w:r>
          </w:p>
          <w:p w:rsidR="00780A22" w:rsidRPr="00855524" w:rsidRDefault="00780A22" w:rsidP="00780A22">
            <w:pPr>
              <w:jc w:val="center"/>
              <w:rPr>
                <w:sz w:val="24"/>
                <w:szCs w:val="24"/>
                <w:lang w:val="en-US"/>
              </w:rPr>
            </w:pPr>
            <w:r>
              <w:rPr>
                <w:sz w:val="24"/>
                <w:szCs w:val="24"/>
              </w:rPr>
              <w:t>8</w:t>
            </w:r>
            <w:r w:rsidRPr="00855524">
              <w:rPr>
                <w:sz w:val="24"/>
                <w:szCs w:val="24"/>
              </w:rPr>
              <w:t>/2</w:t>
            </w:r>
            <w:r>
              <w:rPr>
                <w:sz w:val="24"/>
                <w:szCs w:val="24"/>
              </w:rPr>
              <w:t>6</w:t>
            </w:r>
            <w:r w:rsidRPr="00855524">
              <w:rPr>
                <w:sz w:val="24"/>
                <w:szCs w:val="24"/>
                <w:lang w:val="en-US"/>
              </w:rPr>
              <w:t xml:space="preserve"> (</w:t>
            </w:r>
            <w:r w:rsidRPr="00855524">
              <w:rPr>
                <w:sz w:val="24"/>
                <w:szCs w:val="24"/>
              </w:rPr>
              <w:t>30</w:t>
            </w:r>
            <w:r>
              <w:rPr>
                <w:sz w:val="24"/>
                <w:szCs w:val="24"/>
              </w:rPr>
              <w:t>,8</w:t>
            </w:r>
            <w:r w:rsidRPr="00855524">
              <w:rPr>
                <w:sz w:val="24"/>
                <w:szCs w:val="24"/>
                <w:lang w:val="en-US"/>
              </w:rPr>
              <w:t>%)</w:t>
            </w:r>
          </w:p>
        </w:tc>
        <w:tc>
          <w:tcPr>
            <w:tcW w:w="2678" w:type="dxa"/>
          </w:tcPr>
          <w:p w:rsidR="00780A22" w:rsidRPr="00855524" w:rsidRDefault="00780A22" w:rsidP="00780A22">
            <w:pPr>
              <w:jc w:val="center"/>
              <w:rPr>
                <w:sz w:val="24"/>
                <w:szCs w:val="24"/>
                <w:lang w:val="en-US"/>
              </w:rPr>
            </w:pPr>
          </w:p>
          <w:p w:rsidR="00780A22" w:rsidRPr="00855524" w:rsidRDefault="00780A22" w:rsidP="00780A22">
            <w:pPr>
              <w:jc w:val="center"/>
              <w:rPr>
                <w:sz w:val="24"/>
                <w:szCs w:val="24"/>
                <w:lang w:val="en-US"/>
              </w:rPr>
            </w:pPr>
            <w:r w:rsidRPr="00855524">
              <w:rPr>
                <w:sz w:val="24"/>
                <w:szCs w:val="24"/>
                <w:lang w:val="en-US"/>
              </w:rPr>
              <w:t>13</w:t>
            </w:r>
            <w:r w:rsidRPr="00855524">
              <w:rPr>
                <w:sz w:val="24"/>
                <w:szCs w:val="24"/>
              </w:rPr>
              <w:t>/</w:t>
            </w:r>
            <w:r>
              <w:rPr>
                <w:sz w:val="24"/>
                <w:szCs w:val="24"/>
              </w:rPr>
              <w:t>30</w:t>
            </w:r>
            <w:r w:rsidRPr="00855524">
              <w:rPr>
                <w:sz w:val="24"/>
                <w:szCs w:val="24"/>
                <w:lang w:val="en-US"/>
              </w:rPr>
              <w:t xml:space="preserve"> (4</w:t>
            </w:r>
            <w:r>
              <w:rPr>
                <w:sz w:val="24"/>
                <w:szCs w:val="24"/>
              </w:rPr>
              <w:t>3,3</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1</w:t>
            </w:r>
            <w:r>
              <w:rPr>
                <w:sz w:val="24"/>
                <w:szCs w:val="24"/>
              </w:rPr>
              <w:t>2</w:t>
            </w:r>
            <w:r w:rsidRPr="00855524">
              <w:rPr>
                <w:sz w:val="24"/>
                <w:szCs w:val="24"/>
              </w:rPr>
              <w:t>/</w:t>
            </w:r>
            <w:r>
              <w:rPr>
                <w:sz w:val="24"/>
                <w:szCs w:val="24"/>
              </w:rPr>
              <w:t>30</w:t>
            </w:r>
            <w:r w:rsidRPr="00855524">
              <w:rPr>
                <w:sz w:val="24"/>
                <w:szCs w:val="24"/>
                <w:lang w:val="en-US"/>
              </w:rPr>
              <w:t xml:space="preserve"> (</w:t>
            </w:r>
            <w:r>
              <w:rPr>
                <w:sz w:val="24"/>
                <w:szCs w:val="24"/>
              </w:rPr>
              <w:t>40</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6</w:t>
            </w:r>
            <w:r w:rsidRPr="00855524">
              <w:rPr>
                <w:sz w:val="24"/>
                <w:szCs w:val="24"/>
              </w:rPr>
              <w:t>/</w:t>
            </w:r>
            <w:r>
              <w:rPr>
                <w:sz w:val="24"/>
                <w:szCs w:val="24"/>
              </w:rPr>
              <w:t>30</w:t>
            </w:r>
            <w:r w:rsidRPr="00855524">
              <w:rPr>
                <w:sz w:val="24"/>
                <w:szCs w:val="24"/>
                <w:lang w:val="en-US"/>
              </w:rPr>
              <w:t xml:space="preserve"> (20%)</w:t>
            </w:r>
          </w:p>
        </w:tc>
        <w:tc>
          <w:tcPr>
            <w:tcW w:w="1372" w:type="dxa"/>
          </w:tcPr>
          <w:p w:rsidR="00780A22" w:rsidRPr="00A52B58" w:rsidRDefault="00780A22" w:rsidP="00780A22">
            <w:pPr>
              <w:spacing w:line="276" w:lineRule="auto"/>
              <w:jc w:val="center"/>
              <w:rPr>
                <w:sz w:val="24"/>
                <w:szCs w:val="24"/>
              </w:rPr>
            </w:pPr>
            <w:r w:rsidRPr="00855524">
              <w:rPr>
                <w:sz w:val="24"/>
                <w:szCs w:val="24"/>
                <w:lang w:val="en-US"/>
              </w:rPr>
              <w:t>0</w:t>
            </w:r>
            <w:r>
              <w:rPr>
                <w:sz w:val="24"/>
                <w:szCs w:val="24"/>
              </w:rPr>
              <w:t>,</w:t>
            </w:r>
            <w:r w:rsidRPr="00855524">
              <w:rPr>
                <w:sz w:val="24"/>
                <w:szCs w:val="24"/>
                <w:lang w:val="en-US"/>
              </w:rPr>
              <w:t>8</w:t>
            </w:r>
            <w:r>
              <w:rPr>
                <w:sz w:val="24"/>
                <w:szCs w:val="24"/>
              </w:rPr>
              <w:t>112</w:t>
            </w:r>
          </w:p>
        </w:tc>
      </w:tr>
      <w:tr w:rsidR="00780A22" w:rsidRPr="00FC6A43" w:rsidTr="00780A22">
        <w:trPr>
          <w:trHeight w:val="534"/>
        </w:trPr>
        <w:tc>
          <w:tcPr>
            <w:tcW w:w="3532" w:type="dxa"/>
          </w:tcPr>
          <w:p w:rsidR="00780A22" w:rsidRPr="007D45C5" w:rsidRDefault="00780A22" w:rsidP="00780A22">
            <w:pPr>
              <w:jc w:val="center"/>
              <w:rPr>
                <w:sz w:val="24"/>
                <w:szCs w:val="24"/>
              </w:rPr>
            </w:pPr>
            <w:r>
              <w:rPr>
                <w:sz w:val="24"/>
                <w:szCs w:val="24"/>
              </w:rPr>
              <w:t>Κυτταρογενετικές ατυπίες</w:t>
            </w:r>
          </w:p>
          <w:p w:rsidR="00780A22" w:rsidRPr="007D45C5" w:rsidRDefault="00780A22" w:rsidP="00780A22">
            <w:pPr>
              <w:jc w:val="center"/>
              <w:rPr>
                <w:sz w:val="24"/>
                <w:szCs w:val="24"/>
              </w:rPr>
            </w:pPr>
            <w:r w:rsidRPr="00855524">
              <w:rPr>
                <w:sz w:val="24"/>
                <w:szCs w:val="24"/>
                <w:lang w:val="en-US"/>
              </w:rPr>
              <w:t>del</w:t>
            </w:r>
            <w:r w:rsidRPr="007D45C5">
              <w:rPr>
                <w:sz w:val="24"/>
                <w:szCs w:val="24"/>
              </w:rPr>
              <w:t>(13</w:t>
            </w:r>
            <w:r w:rsidRPr="00855524">
              <w:rPr>
                <w:sz w:val="24"/>
                <w:szCs w:val="24"/>
                <w:lang w:val="en-US"/>
              </w:rPr>
              <w:t>q</w:t>
            </w:r>
            <w:r w:rsidRPr="007D45C5">
              <w:rPr>
                <w:sz w:val="24"/>
                <w:szCs w:val="24"/>
              </w:rPr>
              <w:t>)</w:t>
            </w:r>
          </w:p>
          <w:p w:rsidR="00780A22" w:rsidRPr="007D45C5" w:rsidRDefault="00780A22" w:rsidP="00780A22">
            <w:pPr>
              <w:jc w:val="center"/>
              <w:rPr>
                <w:sz w:val="24"/>
                <w:szCs w:val="24"/>
              </w:rPr>
            </w:pPr>
            <w:r w:rsidRPr="00855524">
              <w:rPr>
                <w:sz w:val="24"/>
                <w:szCs w:val="24"/>
                <w:lang w:val="en-US"/>
              </w:rPr>
              <w:t>t</w:t>
            </w:r>
            <w:r w:rsidRPr="007D45C5">
              <w:rPr>
                <w:sz w:val="24"/>
                <w:szCs w:val="24"/>
              </w:rPr>
              <w:t>(4;14)</w:t>
            </w:r>
          </w:p>
          <w:p w:rsidR="00780A22" w:rsidRPr="00855524" w:rsidRDefault="00780A22" w:rsidP="00780A22">
            <w:pPr>
              <w:jc w:val="center"/>
              <w:rPr>
                <w:sz w:val="24"/>
                <w:szCs w:val="24"/>
                <w:lang w:val="en-US"/>
              </w:rPr>
            </w:pPr>
            <w:r w:rsidRPr="00855524">
              <w:rPr>
                <w:sz w:val="24"/>
                <w:szCs w:val="24"/>
                <w:lang w:val="en-US"/>
              </w:rPr>
              <w:t>del(17p13)</w:t>
            </w:r>
          </w:p>
          <w:p w:rsidR="00780A22" w:rsidRPr="00855524" w:rsidRDefault="00780A22" w:rsidP="00780A22">
            <w:pPr>
              <w:jc w:val="center"/>
              <w:rPr>
                <w:sz w:val="24"/>
                <w:szCs w:val="24"/>
                <w:lang w:val="en-US"/>
              </w:rPr>
            </w:pPr>
            <w:r w:rsidRPr="00855524">
              <w:rPr>
                <w:sz w:val="24"/>
                <w:szCs w:val="24"/>
                <w:lang w:val="en-US"/>
              </w:rPr>
              <w:t>+1q21</w:t>
            </w:r>
          </w:p>
          <w:p w:rsidR="00780A22" w:rsidRPr="00855524" w:rsidRDefault="00780A22" w:rsidP="00780A22">
            <w:pPr>
              <w:jc w:val="center"/>
              <w:rPr>
                <w:sz w:val="24"/>
                <w:szCs w:val="24"/>
                <w:lang w:val="en-US"/>
              </w:rPr>
            </w:pPr>
            <w:r w:rsidRPr="00855524">
              <w:rPr>
                <w:sz w:val="24"/>
                <w:szCs w:val="24"/>
                <w:lang w:val="en-US"/>
              </w:rPr>
              <w:t>t(11;14)</w:t>
            </w:r>
          </w:p>
          <w:p w:rsidR="00780A22" w:rsidRPr="00855524" w:rsidRDefault="00780A22" w:rsidP="00780A22">
            <w:pPr>
              <w:jc w:val="center"/>
              <w:rPr>
                <w:sz w:val="24"/>
                <w:szCs w:val="24"/>
                <w:lang w:val="en-US"/>
              </w:rPr>
            </w:pPr>
            <w:r w:rsidRPr="00855524">
              <w:rPr>
                <w:sz w:val="24"/>
                <w:szCs w:val="24"/>
                <w:lang w:val="en-US"/>
              </w:rPr>
              <w:t>t(14;16)</w:t>
            </w:r>
          </w:p>
        </w:tc>
        <w:tc>
          <w:tcPr>
            <w:tcW w:w="3038" w:type="dxa"/>
          </w:tcPr>
          <w:p w:rsidR="00780A22" w:rsidRPr="00855524" w:rsidRDefault="00780A22" w:rsidP="00780A22">
            <w:pPr>
              <w:jc w:val="center"/>
              <w:rPr>
                <w:sz w:val="24"/>
                <w:szCs w:val="24"/>
                <w:lang w:val="en-US"/>
              </w:rPr>
            </w:pPr>
          </w:p>
          <w:p w:rsidR="00780A22" w:rsidRPr="00855524" w:rsidRDefault="00780A22" w:rsidP="00780A22">
            <w:pPr>
              <w:jc w:val="center"/>
              <w:rPr>
                <w:sz w:val="24"/>
                <w:szCs w:val="24"/>
                <w:lang w:val="en-US"/>
              </w:rPr>
            </w:pPr>
            <w:r w:rsidRPr="00855524">
              <w:rPr>
                <w:sz w:val="24"/>
                <w:szCs w:val="24"/>
                <w:lang w:val="en-US"/>
              </w:rPr>
              <w:t>1</w:t>
            </w:r>
            <w:r>
              <w:rPr>
                <w:sz w:val="24"/>
                <w:szCs w:val="24"/>
              </w:rPr>
              <w:t>1</w:t>
            </w:r>
            <w:r w:rsidRPr="00855524">
              <w:rPr>
                <w:sz w:val="24"/>
                <w:szCs w:val="24"/>
                <w:lang w:val="en-US"/>
              </w:rPr>
              <w:t>/2</w:t>
            </w:r>
            <w:r>
              <w:rPr>
                <w:sz w:val="24"/>
                <w:szCs w:val="24"/>
              </w:rPr>
              <w:t>6</w:t>
            </w:r>
            <w:r w:rsidRPr="00855524">
              <w:rPr>
                <w:sz w:val="24"/>
                <w:szCs w:val="24"/>
                <w:lang w:val="en-US"/>
              </w:rPr>
              <w:t xml:space="preserve"> (4</w:t>
            </w:r>
            <w:r>
              <w:rPr>
                <w:sz w:val="24"/>
                <w:szCs w:val="24"/>
              </w:rPr>
              <w:t>2,3</w:t>
            </w:r>
            <w:r w:rsidRPr="00855524">
              <w:rPr>
                <w:sz w:val="24"/>
                <w:szCs w:val="24"/>
                <w:lang w:val="en-US"/>
              </w:rPr>
              <w:t>%)</w:t>
            </w:r>
          </w:p>
          <w:p w:rsidR="00780A22" w:rsidRPr="00855524" w:rsidRDefault="00780A22" w:rsidP="00780A22">
            <w:pPr>
              <w:jc w:val="center"/>
              <w:rPr>
                <w:sz w:val="24"/>
                <w:szCs w:val="24"/>
                <w:lang w:val="en-US"/>
              </w:rPr>
            </w:pPr>
            <w:r>
              <w:rPr>
                <w:sz w:val="24"/>
                <w:szCs w:val="24"/>
              </w:rPr>
              <w:t>3</w:t>
            </w:r>
            <w:r w:rsidRPr="00855524">
              <w:rPr>
                <w:sz w:val="24"/>
                <w:szCs w:val="24"/>
                <w:lang w:val="en-US"/>
              </w:rPr>
              <w:t>/2</w:t>
            </w:r>
            <w:r>
              <w:rPr>
                <w:sz w:val="24"/>
                <w:szCs w:val="24"/>
              </w:rPr>
              <w:t>6</w:t>
            </w:r>
            <w:r w:rsidRPr="00855524">
              <w:rPr>
                <w:sz w:val="24"/>
                <w:szCs w:val="24"/>
                <w:lang w:val="en-US"/>
              </w:rPr>
              <w:t xml:space="preserve"> (</w:t>
            </w:r>
            <w:r>
              <w:rPr>
                <w:sz w:val="24"/>
                <w:szCs w:val="24"/>
              </w:rPr>
              <w:t>11,5</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1/2</w:t>
            </w:r>
            <w:r>
              <w:rPr>
                <w:sz w:val="24"/>
                <w:szCs w:val="24"/>
              </w:rPr>
              <w:t>6</w:t>
            </w:r>
            <w:r w:rsidRPr="00855524">
              <w:rPr>
                <w:sz w:val="24"/>
                <w:szCs w:val="24"/>
                <w:lang w:val="en-US"/>
              </w:rPr>
              <w:t xml:space="preserve"> (</w:t>
            </w:r>
            <w:r>
              <w:rPr>
                <w:sz w:val="24"/>
                <w:szCs w:val="24"/>
              </w:rPr>
              <w:t>3,8</w:t>
            </w:r>
            <w:r w:rsidRPr="00855524">
              <w:rPr>
                <w:sz w:val="24"/>
                <w:szCs w:val="24"/>
                <w:lang w:val="en-US"/>
              </w:rPr>
              <w:t xml:space="preserve">%) </w:t>
            </w:r>
          </w:p>
          <w:p w:rsidR="00780A22" w:rsidRPr="00855524" w:rsidRDefault="00780A22" w:rsidP="00780A22">
            <w:pPr>
              <w:jc w:val="center"/>
              <w:rPr>
                <w:sz w:val="24"/>
                <w:szCs w:val="24"/>
                <w:lang w:val="en-US"/>
              </w:rPr>
            </w:pPr>
            <w:r>
              <w:rPr>
                <w:sz w:val="24"/>
                <w:szCs w:val="24"/>
              </w:rPr>
              <w:t>3</w:t>
            </w:r>
            <w:r w:rsidRPr="00855524">
              <w:rPr>
                <w:sz w:val="24"/>
                <w:szCs w:val="24"/>
                <w:lang w:val="en-US"/>
              </w:rPr>
              <w:t>/2</w:t>
            </w:r>
            <w:r>
              <w:rPr>
                <w:sz w:val="24"/>
                <w:szCs w:val="24"/>
              </w:rPr>
              <w:t>6</w:t>
            </w:r>
            <w:r w:rsidRPr="00855524">
              <w:rPr>
                <w:sz w:val="24"/>
                <w:szCs w:val="24"/>
                <w:lang w:val="en-US"/>
              </w:rPr>
              <w:t xml:space="preserve"> (</w:t>
            </w:r>
            <w:r>
              <w:rPr>
                <w:sz w:val="24"/>
                <w:szCs w:val="24"/>
              </w:rPr>
              <w:t>11,5</w:t>
            </w:r>
            <w:r w:rsidRPr="00855524">
              <w:rPr>
                <w:sz w:val="24"/>
                <w:szCs w:val="24"/>
                <w:lang w:val="en-US"/>
              </w:rPr>
              <w:t>%)</w:t>
            </w:r>
          </w:p>
          <w:p w:rsidR="00780A22" w:rsidRPr="00855524" w:rsidRDefault="00780A22" w:rsidP="00780A22">
            <w:pPr>
              <w:jc w:val="center"/>
              <w:rPr>
                <w:sz w:val="24"/>
                <w:szCs w:val="24"/>
                <w:lang w:val="en-US"/>
              </w:rPr>
            </w:pPr>
            <w:r>
              <w:rPr>
                <w:sz w:val="24"/>
                <w:szCs w:val="24"/>
              </w:rPr>
              <w:t>2</w:t>
            </w:r>
            <w:r w:rsidRPr="00855524">
              <w:rPr>
                <w:sz w:val="24"/>
                <w:szCs w:val="24"/>
                <w:lang w:val="en-US"/>
              </w:rPr>
              <w:t>/2</w:t>
            </w:r>
            <w:r>
              <w:rPr>
                <w:sz w:val="24"/>
                <w:szCs w:val="24"/>
              </w:rPr>
              <w:t>6</w:t>
            </w:r>
            <w:r w:rsidRPr="00855524">
              <w:rPr>
                <w:sz w:val="24"/>
                <w:szCs w:val="24"/>
                <w:lang w:val="en-US"/>
              </w:rPr>
              <w:t xml:space="preserve"> (</w:t>
            </w:r>
            <w:r>
              <w:rPr>
                <w:sz w:val="24"/>
                <w:szCs w:val="24"/>
              </w:rPr>
              <w:t>7,7</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0 (0%)</w:t>
            </w:r>
          </w:p>
        </w:tc>
        <w:tc>
          <w:tcPr>
            <w:tcW w:w="2678" w:type="dxa"/>
          </w:tcPr>
          <w:p w:rsidR="00780A22" w:rsidRPr="00855524" w:rsidRDefault="00780A22" w:rsidP="00780A22">
            <w:pPr>
              <w:jc w:val="center"/>
              <w:rPr>
                <w:sz w:val="24"/>
                <w:szCs w:val="24"/>
                <w:lang w:val="en-US"/>
              </w:rPr>
            </w:pPr>
          </w:p>
          <w:p w:rsidR="00780A22" w:rsidRPr="00855524" w:rsidRDefault="00780A22" w:rsidP="00780A22">
            <w:pPr>
              <w:jc w:val="center"/>
              <w:rPr>
                <w:sz w:val="24"/>
                <w:szCs w:val="24"/>
                <w:lang w:val="en-US"/>
              </w:rPr>
            </w:pPr>
            <w:r w:rsidRPr="00855524">
              <w:rPr>
                <w:sz w:val="24"/>
                <w:szCs w:val="24"/>
                <w:lang w:val="en-US"/>
              </w:rPr>
              <w:t>1</w:t>
            </w:r>
            <w:r>
              <w:rPr>
                <w:sz w:val="24"/>
                <w:szCs w:val="24"/>
              </w:rPr>
              <w:t>4</w:t>
            </w:r>
            <w:r w:rsidRPr="00855524">
              <w:rPr>
                <w:sz w:val="24"/>
                <w:szCs w:val="24"/>
                <w:lang w:val="en-US"/>
              </w:rPr>
              <w:t>/</w:t>
            </w:r>
            <w:r>
              <w:rPr>
                <w:sz w:val="24"/>
                <w:szCs w:val="24"/>
              </w:rPr>
              <w:t>30</w:t>
            </w:r>
            <w:r w:rsidRPr="00855524">
              <w:rPr>
                <w:sz w:val="24"/>
                <w:szCs w:val="24"/>
                <w:lang w:val="en-US"/>
              </w:rPr>
              <w:t xml:space="preserve"> (4</w:t>
            </w:r>
            <w:r>
              <w:rPr>
                <w:sz w:val="24"/>
                <w:szCs w:val="24"/>
              </w:rPr>
              <w:t>6,7</w:t>
            </w:r>
            <w:r w:rsidRPr="00855524">
              <w:rPr>
                <w:sz w:val="24"/>
                <w:szCs w:val="24"/>
                <w:lang w:val="en-US"/>
              </w:rPr>
              <w:t>%)</w:t>
            </w:r>
          </w:p>
          <w:p w:rsidR="00780A22" w:rsidRPr="00855524" w:rsidRDefault="00780A22" w:rsidP="00780A22">
            <w:pPr>
              <w:jc w:val="center"/>
              <w:rPr>
                <w:sz w:val="24"/>
                <w:szCs w:val="24"/>
                <w:lang w:val="en-US"/>
              </w:rPr>
            </w:pPr>
            <w:r>
              <w:rPr>
                <w:sz w:val="24"/>
                <w:szCs w:val="24"/>
              </w:rPr>
              <w:t>3</w:t>
            </w:r>
            <w:r w:rsidRPr="00855524">
              <w:rPr>
                <w:sz w:val="24"/>
                <w:szCs w:val="24"/>
                <w:lang w:val="en-US"/>
              </w:rPr>
              <w:t>/</w:t>
            </w:r>
            <w:r>
              <w:rPr>
                <w:sz w:val="24"/>
                <w:szCs w:val="24"/>
              </w:rPr>
              <w:t>30</w:t>
            </w:r>
            <w:r w:rsidRPr="00855524">
              <w:rPr>
                <w:sz w:val="24"/>
                <w:szCs w:val="24"/>
                <w:lang w:val="en-US"/>
              </w:rPr>
              <w:t xml:space="preserve"> (</w:t>
            </w:r>
            <w:r>
              <w:rPr>
                <w:sz w:val="24"/>
                <w:szCs w:val="24"/>
              </w:rPr>
              <w:t>10</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1/</w:t>
            </w:r>
            <w:r>
              <w:rPr>
                <w:sz w:val="24"/>
                <w:szCs w:val="24"/>
              </w:rPr>
              <w:t>30</w:t>
            </w:r>
            <w:r w:rsidRPr="00855524">
              <w:rPr>
                <w:sz w:val="24"/>
                <w:szCs w:val="24"/>
                <w:lang w:val="en-US"/>
              </w:rPr>
              <w:t xml:space="preserve"> (</w:t>
            </w:r>
            <w:r w:rsidRPr="00855524">
              <w:rPr>
                <w:sz w:val="24"/>
                <w:szCs w:val="24"/>
              </w:rPr>
              <w:t>3</w:t>
            </w:r>
            <w:r>
              <w:rPr>
                <w:sz w:val="24"/>
                <w:szCs w:val="24"/>
              </w:rPr>
              <w:t>,3</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3/</w:t>
            </w:r>
            <w:r>
              <w:rPr>
                <w:sz w:val="24"/>
                <w:szCs w:val="24"/>
              </w:rPr>
              <w:t>30</w:t>
            </w:r>
            <w:r w:rsidRPr="00855524">
              <w:rPr>
                <w:sz w:val="24"/>
                <w:szCs w:val="24"/>
                <w:lang w:val="en-US"/>
              </w:rPr>
              <w:t xml:space="preserve"> (</w:t>
            </w:r>
            <w:r>
              <w:rPr>
                <w:sz w:val="24"/>
                <w:szCs w:val="24"/>
              </w:rPr>
              <w:t>10</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rPr>
              <w:t>3</w:t>
            </w:r>
            <w:r w:rsidRPr="00855524">
              <w:rPr>
                <w:sz w:val="24"/>
                <w:szCs w:val="24"/>
                <w:lang w:val="en-US"/>
              </w:rPr>
              <w:t>/</w:t>
            </w:r>
            <w:r>
              <w:rPr>
                <w:sz w:val="24"/>
                <w:szCs w:val="24"/>
              </w:rPr>
              <w:t>30</w:t>
            </w:r>
            <w:r w:rsidRPr="00855524">
              <w:rPr>
                <w:sz w:val="24"/>
                <w:szCs w:val="24"/>
                <w:lang w:val="en-US"/>
              </w:rPr>
              <w:t xml:space="preserve"> (</w:t>
            </w:r>
            <w:r w:rsidRPr="00855524">
              <w:rPr>
                <w:sz w:val="24"/>
                <w:szCs w:val="24"/>
              </w:rPr>
              <w:t>10</w:t>
            </w:r>
            <w:r w:rsidRPr="00855524">
              <w:rPr>
                <w:sz w:val="24"/>
                <w:szCs w:val="24"/>
                <w:lang w:val="en-US"/>
              </w:rPr>
              <w:t>%)</w:t>
            </w:r>
          </w:p>
          <w:p w:rsidR="00780A22" w:rsidRPr="00855524" w:rsidRDefault="00780A22" w:rsidP="00780A22">
            <w:pPr>
              <w:jc w:val="center"/>
              <w:rPr>
                <w:sz w:val="24"/>
                <w:szCs w:val="24"/>
                <w:lang w:val="en-US"/>
              </w:rPr>
            </w:pPr>
            <w:r w:rsidRPr="00855524">
              <w:rPr>
                <w:sz w:val="24"/>
                <w:szCs w:val="24"/>
                <w:lang w:val="en-US"/>
              </w:rPr>
              <w:t>1/</w:t>
            </w:r>
            <w:r>
              <w:rPr>
                <w:sz w:val="24"/>
                <w:szCs w:val="24"/>
              </w:rPr>
              <w:t>30</w:t>
            </w:r>
            <w:r w:rsidRPr="00855524">
              <w:rPr>
                <w:sz w:val="24"/>
                <w:szCs w:val="24"/>
                <w:lang w:val="en-US"/>
              </w:rPr>
              <w:t xml:space="preserve"> (</w:t>
            </w:r>
            <w:r w:rsidRPr="00855524">
              <w:rPr>
                <w:sz w:val="24"/>
                <w:szCs w:val="24"/>
              </w:rPr>
              <w:t>3</w:t>
            </w:r>
            <w:r>
              <w:rPr>
                <w:sz w:val="24"/>
                <w:szCs w:val="24"/>
              </w:rPr>
              <w:t>,3</w:t>
            </w:r>
            <w:r w:rsidRPr="00855524">
              <w:rPr>
                <w:sz w:val="24"/>
                <w:szCs w:val="24"/>
                <w:lang w:val="en-US"/>
              </w:rPr>
              <w:t>%)</w:t>
            </w:r>
          </w:p>
        </w:tc>
        <w:tc>
          <w:tcPr>
            <w:tcW w:w="1372" w:type="dxa"/>
          </w:tcPr>
          <w:p w:rsidR="00780A22" w:rsidRPr="00855524" w:rsidRDefault="00780A22" w:rsidP="00780A22">
            <w:pPr>
              <w:jc w:val="center"/>
              <w:rPr>
                <w:sz w:val="24"/>
                <w:szCs w:val="24"/>
                <w:lang w:val="en-US"/>
              </w:rPr>
            </w:pPr>
          </w:p>
        </w:tc>
      </w:tr>
      <w:tr w:rsidR="00780A22" w:rsidRPr="00855524" w:rsidTr="00780A22">
        <w:trPr>
          <w:trHeight w:val="534"/>
        </w:trPr>
        <w:tc>
          <w:tcPr>
            <w:tcW w:w="3532" w:type="dxa"/>
          </w:tcPr>
          <w:p w:rsidR="00780A22" w:rsidRPr="007D45C5" w:rsidRDefault="00780A22" w:rsidP="00780A22">
            <w:pPr>
              <w:jc w:val="center"/>
              <w:rPr>
                <w:rFonts w:cstheme="minorHAnsi"/>
                <w:sz w:val="24"/>
                <w:szCs w:val="24"/>
              </w:rPr>
            </w:pPr>
            <w:r>
              <w:rPr>
                <w:rFonts w:cstheme="minorHAnsi"/>
                <w:sz w:val="24"/>
                <w:szCs w:val="24"/>
              </w:rPr>
              <w:t>Είδος β</w:t>
            </w:r>
            <w:r w:rsidRPr="007D45C5">
              <w:rPr>
                <w:rFonts w:cstheme="minorHAnsi"/>
                <w:sz w:val="24"/>
                <w:szCs w:val="24"/>
              </w:rPr>
              <w:t>αριά</w:t>
            </w:r>
            <w:r>
              <w:rPr>
                <w:rFonts w:cstheme="minorHAnsi"/>
                <w:sz w:val="24"/>
                <w:szCs w:val="24"/>
              </w:rPr>
              <w:t>ς</w:t>
            </w:r>
            <w:r w:rsidRPr="007D45C5">
              <w:rPr>
                <w:rFonts w:cstheme="minorHAnsi"/>
                <w:sz w:val="24"/>
                <w:szCs w:val="24"/>
              </w:rPr>
              <w:t xml:space="preserve"> αλυσίδα</w:t>
            </w:r>
            <w:r>
              <w:rPr>
                <w:rFonts w:cstheme="minorHAnsi"/>
                <w:sz w:val="24"/>
                <w:szCs w:val="24"/>
              </w:rPr>
              <w:t>ς</w:t>
            </w:r>
          </w:p>
          <w:p w:rsidR="00780A22" w:rsidRPr="007D45C5" w:rsidRDefault="00780A22" w:rsidP="00780A22">
            <w:pPr>
              <w:jc w:val="center"/>
              <w:rPr>
                <w:rFonts w:cstheme="minorHAnsi"/>
                <w:sz w:val="24"/>
                <w:szCs w:val="24"/>
              </w:rPr>
            </w:pPr>
            <w:r w:rsidRPr="007D45C5">
              <w:rPr>
                <w:rFonts w:cstheme="minorHAnsi"/>
                <w:sz w:val="24"/>
                <w:szCs w:val="24"/>
                <w:lang w:val="en-US"/>
              </w:rPr>
              <w:t>IgA</w:t>
            </w:r>
          </w:p>
          <w:p w:rsidR="00780A22" w:rsidRPr="007D45C5" w:rsidRDefault="00780A22" w:rsidP="00780A22">
            <w:pPr>
              <w:jc w:val="center"/>
              <w:rPr>
                <w:rFonts w:cstheme="minorHAnsi"/>
                <w:sz w:val="24"/>
                <w:szCs w:val="24"/>
              </w:rPr>
            </w:pPr>
            <w:r w:rsidRPr="007D45C5">
              <w:rPr>
                <w:rFonts w:cstheme="minorHAnsi"/>
                <w:sz w:val="24"/>
                <w:szCs w:val="24"/>
                <w:lang w:val="en-US"/>
              </w:rPr>
              <w:t>IgG</w:t>
            </w:r>
          </w:p>
          <w:p w:rsidR="00780A22" w:rsidRPr="007D45C5" w:rsidRDefault="00780A22" w:rsidP="00780A22">
            <w:pPr>
              <w:jc w:val="center"/>
              <w:rPr>
                <w:rFonts w:cstheme="minorHAnsi"/>
                <w:sz w:val="24"/>
                <w:szCs w:val="24"/>
              </w:rPr>
            </w:pPr>
            <w:r w:rsidRPr="007D45C5">
              <w:rPr>
                <w:rFonts w:cstheme="minorHAnsi"/>
                <w:sz w:val="24"/>
                <w:szCs w:val="24"/>
                <w:lang w:val="en-US"/>
              </w:rPr>
              <w:t>IgD</w:t>
            </w:r>
          </w:p>
          <w:p w:rsidR="00780A22" w:rsidRPr="007D45C5" w:rsidRDefault="00780A22" w:rsidP="00780A22">
            <w:pPr>
              <w:jc w:val="center"/>
              <w:rPr>
                <w:rFonts w:cstheme="minorHAnsi"/>
                <w:sz w:val="24"/>
                <w:szCs w:val="24"/>
              </w:rPr>
            </w:pPr>
            <w:r w:rsidRPr="007D45C5">
              <w:rPr>
                <w:rFonts w:cstheme="minorHAnsi"/>
                <w:sz w:val="24"/>
                <w:szCs w:val="24"/>
              </w:rPr>
              <w:t>Μόνο ελαφριά αλυσίδα</w:t>
            </w:r>
          </w:p>
        </w:tc>
        <w:tc>
          <w:tcPr>
            <w:tcW w:w="3038" w:type="dxa"/>
          </w:tcPr>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5</w:t>
            </w:r>
            <w:r w:rsidRPr="007D45C5">
              <w:rPr>
                <w:rFonts w:cstheme="minorHAnsi"/>
                <w:sz w:val="24"/>
                <w:szCs w:val="24"/>
              </w:rPr>
              <w:t>/2</w:t>
            </w:r>
            <w:r w:rsidRPr="007D45C5">
              <w:rPr>
                <w:rFonts w:cstheme="minorHAnsi"/>
                <w:sz w:val="24"/>
                <w:szCs w:val="24"/>
                <w:lang w:val="en-US"/>
              </w:rPr>
              <w:t>6 (19</w:t>
            </w:r>
            <w:r>
              <w:rPr>
                <w:rFonts w:cstheme="minorHAnsi"/>
                <w:sz w:val="24"/>
                <w:szCs w:val="24"/>
              </w:rPr>
              <w:t>,</w:t>
            </w:r>
            <w:r w:rsidRPr="007D45C5">
              <w:rPr>
                <w:rFonts w:cstheme="minorHAnsi"/>
                <w:sz w:val="24"/>
                <w:szCs w:val="24"/>
                <w:lang w:val="en-US"/>
              </w:rPr>
              <w:t>2%)</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15</w:t>
            </w:r>
            <w:r w:rsidRPr="007D45C5">
              <w:rPr>
                <w:rFonts w:cstheme="minorHAnsi"/>
                <w:sz w:val="24"/>
                <w:szCs w:val="24"/>
              </w:rPr>
              <w:t>/2</w:t>
            </w:r>
            <w:r w:rsidRPr="007D45C5">
              <w:rPr>
                <w:rFonts w:cstheme="minorHAnsi"/>
                <w:sz w:val="24"/>
                <w:szCs w:val="24"/>
                <w:lang w:val="en-US"/>
              </w:rPr>
              <w:t>6 (57</w:t>
            </w:r>
            <w:r>
              <w:rPr>
                <w:rFonts w:cstheme="minorHAnsi"/>
                <w:sz w:val="24"/>
                <w:szCs w:val="24"/>
              </w:rPr>
              <w:t>,</w:t>
            </w:r>
            <w:r w:rsidRPr="007D45C5">
              <w:rPr>
                <w:rFonts w:cstheme="minorHAnsi"/>
                <w:sz w:val="24"/>
                <w:szCs w:val="24"/>
                <w:lang w:val="en-US"/>
              </w:rPr>
              <w:t>7%)</w:t>
            </w:r>
          </w:p>
          <w:p w:rsidR="00780A22" w:rsidRPr="007D45C5" w:rsidRDefault="00780A22" w:rsidP="00780A22">
            <w:pPr>
              <w:jc w:val="center"/>
              <w:rPr>
                <w:rFonts w:cstheme="minorHAnsi"/>
                <w:sz w:val="24"/>
                <w:szCs w:val="24"/>
              </w:rPr>
            </w:pPr>
            <w:r w:rsidRPr="007D45C5">
              <w:rPr>
                <w:rFonts w:cstheme="minorHAnsi"/>
                <w:sz w:val="24"/>
                <w:szCs w:val="24"/>
                <w:lang w:val="en-US"/>
              </w:rPr>
              <w:t>0</w:t>
            </w:r>
            <w:r w:rsidRPr="007D45C5">
              <w:rPr>
                <w:rFonts w:cstheme="minorHAnsi"/>
                <w:sz w:val="24"/>
                <w:szCs w:val="24"/>
              </w:rPr>
              <w:t>/2</w:t>
            </w:r>
            <w:r w:rsidRPr="007D45C5">
              <w:rPr>
                <w:rFonts w:cstheme="minorHAnsi"/>
                <w:sz w:val="24"/>
                <w:szCs w:val="24"/>
                <w:lang w:val="en-US"/>
              </w:rPr>
              <w:t>6</w:t>
            </w:r>
            <w:r w:rsidRPr="007D45C5">
              <w:rPr>
                <w:rFonts w:cstheme="minorHAnsi"/>
                <w:sz w:val="24"/>
                <w:szCs w:val="24"/>
              </w:rPr>
              <w:t xml:space="preserve"> (0%)</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6</w:t>
            </w:r>
            <w:r w:rsidRPr="007D45C5">
              <w:rPr>
                <w:rFonts w:cstheme="minorHAnsi"/>
                <w:sz w:val="24"/>
                <w:szCs w:val="24"/>
              </w:rPr>
              <w:t>/2</w:t>
            </w:r>
            <w:r w:rsidRPr="007D45C5">
              <w:rPr>
                <w:rFonts w:cstheme="minorHAnsi"/>
                <w:sz w:val="24"/>
                <w:szCs w:val="24"/>
                <w:lang w:val="en-US"/>
              </w:rPr>
              <w:t>6 (23</w:t>
            </w:r>
            <w:r>
              <w:rPr>
                <w:rFonts w:cstheme="minorHAnsi"/>
                <w:sz w:val="24"/>
                <w:szCs w:val="24"/>
              </w:rPr>
              <w:t>,</w:t>
            </w:r>
            <w:r w:rsidRPr="007D45C5">
              <w:rPr>
                <w:rFonts w:cstheme="minorHAnsi"/>
                <w:sz w:val="24"/>
                <w:szCs w:val="24"/>
                <w:lang w:val="en-US"/>
              </w:rPr>
              <w:t>1%)</w:t>
            </w:r>
          </w:p>
        </w:tc>
        <w:tc>
          <w:tcPr>
            <w:tcW w:w="2678" w:type="dxa"/>
          </w:tcPr>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lang w:val="en-US"/>
              </w:rPr>
            </w:pPr>
            <w:r w:rsidRPr="007D45C5">
              <w:rPr>
                <w:rFonts w:cstheme="minorHAnsi"/>
                <w:sz w:val="24"/>
                <w:szCs w:val="24"/>
              </w:rPr>
              <w:t>8/</w:t>
            </w:r>
            <w:r w:rsidRPr="007D45C5">
              <w:rPr>
                <w:rFonts w:cstheme="minorHAnsi"/>
                <w:sz w:val="24"/>
                <w:szCs w:val="24"/>
                <w:lang w:val="en-US"/>
              </w:rPr>
              <w:t>30 (</w:t>
            </w:r>
            <w:r w:rsidRPr="007D45C5">
              <w:rPr>
                <w:rFonts w:cstheme="minorHAnsi"/>
                <w:sz w:val="24"/>
                <w:szCs w:val="24"/>
              </w:rPr>
              <w:t>2</w:t>
            </w:r>
            <w:r w:rsidRPr="007D45C5">
              <w:rPr>
                <w:rFonts w:cstheme="minorHAnsi"/>
                <w:sz w:val="24"/>
                <w:szCs w:val="24"/>
                <w:lang w:val="en-US"/>
              </w:rPr>
              <w:t>6</w:t>
            </w:r>
            <w:r>
              <w:rPr>
                <w:rFonts w:cstheme="minorHAnsi"/>
                <w:sz w:val="24"/>
                <w:szCs w:val="24"/>
              </w:rPr>
              <w:t>,</w:t>
            </w:r>
            <w:r w:rsidRPr="007D45C5">
              <w:rPr>
                <w:rFonts w:cstheme="minorHAnsi"/>
                <w:sz w:val="24"/>
                <w:szCs w:val="24"/>
                <w:lang w:val="en-US"/>
              </w:rPr>
              <w:t>7%)</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17</w:t>
            </w:r>
            <w:r w:rsidRPr="007D45C5">
              <w:rPr>
                <w:rFonts w:cstheme="minorHAnsi"/>
                <w:sz w:val="24"/>
                <w:szCs w:val="24"/>
              </w:rPr>
              <w:t>/</w:t>
            </w:r>
            <w:r w:rsidRPr="007D45C5">
              <w:rPr>
                <w:rFonts w:cstheme="minorHAnsi"/>
                <w:sz w:val="24"/>
                <w:szCs w:val="24"/>
                <w:lang w:val="en-US"/>
              </w:rPr>
              <w:t>30 (56</w:t>
            </w:r>
            <w:r>
              <w:rPr>
                <w:rFonts w:cstheme="minorHAnsi"/>
                <w:sz w:val="24"/>
                <w:szCs w:val="24"/>
              </w:rPr>
              <w:t>,</w:t>
            </w:r>
            <w:r w:rsidRPr="007D45C5">
              <w:rPr>
                <w:rFonts w:cstheme="minorHAnsi"/>
                <w:sz w:val="24"/>
                <w:szCs w:val="24"/>
                <w:lang w:val="en-US"/>
              </w:rPr>
              <w:t>7%)</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1</w:t>
            </w:r>
            <w:r w:rsidRPr="007D45C5">
              <w:rPr>
                <w:rFonts w:cstheme="minorHAnsi"/>
                <w:sz w:val="24"/>
                <w:szCs w:val="24"/>
              </w:rPr>
              <w:t>/</w:t>
            </w:r>
            <w:r w:rsidRPr="007D45C5">
              <w:rPr>
                <w:rFonts w:cstheme="minorHAnsi"/>
                <w:sz w:val="24"/>
                <w:szCs w:val="24"/>
                <w:lang w:val="en-US"/>
              </w:rPr>
              <w:t>30 (</w:t>
            </w:r>
            <w:r w:rsidRPr="007D45C5">
              <w:rPr>
                <w:rFonts w:cstheme="minorHAnsi"/>
                <w:sz w:val="24"/>
                <w:szCs w:val="24"/>
              </w:rPr>
              <w:t>3</w:t>
            </w:r>
            <w:r>
              <w:rPr>
                <w:rFonts w:cstheme="minorHAnsi"/>
                <w:sz w:val="24"/>
                <w:szCs w:val="24"/>
              </w:rPr>
              <w:t>,</w:t>
            </w:r>
            <w:r w:rsidRPr="007D45C5">
              <w:rPr>
                <w:rFonts w:cstheme="minorHAnsi"/>
                <w:sz w:val="24"/>
                <w:szCs w:val="24"/>
                <w:lang w:val="en-US"/>
              </w:rPr>
              <w:t>3%)</w:t>
            </w:r>
          </w:p>
          <w:p w:rsidR="00780A22" w:rsidRPr="007D45C5" w:rsidRDefault="00780A22" w:rsidP="00780A22">
            <w:pPr>
              <w:jc w:val="center"/>
              <w:rPr>
                <w:rFonts w:cstheme="minorHAnsi"/>
                <w:sz w:val="24"/>
                <w:szCs w:val="24"/>
                <w:lang w:val="en-US"/>
              </w:rPr>
            </w:pPr>
            <w:r w:rsidRPr="007D45C5">
              <w:rPr>
                <w:rFonts w:cstheme="minorHAnsi"/>
                <w:sz w:val="24"/>
                <w:szCs w:val="24"/>
              </w:rPr>
              <w:t>4/</w:t>
            </w:r>
            <w:r w:rsidRPr="007D45C5">
              <w:rPr>
                <w:rFonts w:cstheme="minorHAnsi"/>
                <w:sz w:val="24"/>
                <w:szCs w:val="24"/>
                <w:lang w:val="en-US"/>
              </w:rPr>
              <w:t>30 (1</w:t>
            </w:r>
            <w:r w:rsidRPr="007D45C5">
              <w:rPr>
                <w:rFonts w:cstheme="minorHAnsi"/>
                <w:sz w:val="24"/>
                <w:szCs w:val="24"/>
              </w:rPr>
              <w:t>3</w:t>
            </w:r>
            <w:r>
              <w:rPr>
                <w:rFonts w:cstheme="minorHAnsi"/>
                <w:sz w:val="24"/>
                <w:szCs w:val="24"/>
              </w:rPr>
              <w:t>,</w:t>
            </w:r>
            <w:r w:rsidRPr="007D45C5">
              <w:rPr>
                <w:rFonts w:cstheme="minorHAnsi"/>
                <w:sz w:val="24"/>
                <w:szCs w:val="24"/>
                <w:lang w:val="en-US"/>
              </w:rPr>
              <w:t>3%)</w:t>
            </w:r>
          </w:p>
        </w:tc>
        <w:tc>
          <w:tcPr>
            <w:tcW w:w="1372" w:type="dxa"/>
          </w:tcPr>
          <w:p w:rsidR="00780A22" w:rsidRPr="007D45C5" w:rsidRDefault="00780A22" w:rsidP="00780A22">
            <w:pPr>
              <w:spacing w:after="200" w:line="276" w:lineRule="auto"/>
              <w:jc w:val="center"/>
              <w:rPr>
                <w:rFonts w:cstheme="minorHAnsi"/>
                <w:sz w:val="24"/>
                <w:szCs w:val="24"/>
                <w:lang w:val="en-US"/>
              </w:rPr>
            </w:pPr>
          </w:p>
        </w:tc>
      </w:tr>
      <w:tr w:rsidR="00780A22" w:rsidRPr="00855524" w:rsidTr="00780A22">
        <w:trPr>
          <w:trHeight w:val="534"/>
        </w:trPr>
        <w:tc>
          <w:tcPr>
            <w:tcW w:w="3532" w:type="dxa"/>
            <w:vAlign w:val="center"/>
          </w:tcPr>
          <w:p w:rsidR="00780A22" w:rsidRPr="007D45C5" w:rsidRDefault="00780A22" w:rsidP="00780A22">
            <w:pPr>
              <w:jc w:val="center"/>
              <w:rPr>
                <w:rFonts w:cstheme="minorHAnsi"/>
                <w:sz w:val="24"/>
                <w:szCs w:val="24"/>
                <w:lang w:val="en-US"/>
              </w:rPr>
            </w:pPr>
            <w:r w:rsidRPr="007D45C5">
              <w:rPr>
                <w:rFonts w:cstheme="minorHAnsi"/>
                <w:sz w:val="24"/>
                <w:szCs w:val="24"/>
              </w:rPr>
              <w:t>Παρουσία</w:t>
            </w:r>
            <w:r w:rsidRPr="007D45C5">
              <w:rPr>
                <w:rFonts w:cstheme="minorHAnsi"/>
                <w:sz w:val="24"/>
                <w:szCs w:val="24"/>
                <w:lang w:val="en-US"/>
              </w:rPr>
              <w:t xml:space="preserve"> </w:t>
            </w:r>
            <w:r w:rsidRPr="007D45C5">
              <w:rPr>
                <w:rFonts w:cstheme="minorHAnsi"/>
                <w:sz w:val="24"/>
                <w:szCs w:val="24"/>
              </w:rPr>
              <w:t xml:space="preserve">οστικών λύσεων </w:t>
            </w:r>
          </w:p>
        </w:tc>
        <w:tc>
          <w:tcPr>
            <w:tcW w:w="3038" w:type="dxa"/>
            <w:vAlign w:val="center"/>
          </w:tcPr>
          <w:p w:rsidR="00780A22" w:rsidRPr="007D45C5" w:rsidRDefault="00780A22" w:rsidP="00780A22">
            <w:pPr>
              <w:jc w:val="center"/>
              <w:rPr>
                <w:rFonts w:cstheme="minorHAnsi"/>
                <w:sz w:val="24"/>
                <w:szCs w:val="24"/>
                <w:lang w:val="en-US"/>
              </w:rPr>
            </w:pPr>
            <w:r w:rsidRPr="007D45C5">
              <w:rPr>
                <w:rFonts w:cstheme="minorHAnsi"/>
                <w:sz w:val="24"/>
                <w:szCs w:val="24"/>
                <w:lang w:val="en-US"/>
              </w:rPr>
              <w:t>22</w:t>
            </w:r>
            <w:r w:rsidRPr="007D45C5">
              <w:rPr>
                <w:rFonts w:cstheme="minorHAnsi"/>
                <w:sz w:val="24"/>
                <w:szCs w:val="24"/>
              </w:rPr>
              <w:t>/2</w:t>
            </w:r>
            <w:r w:rsidRPr="007D45C5">
              <w:rPr>
                <w:rFonts w:cstheme="minorHAnsi"/>
                <w:sz w:val="24"/>
                <w:szCs w:val="24"/>
                <w:lang w:val="en-US"/>
              </w:rPr>
              <w:t>6 (</w:t>
            </w:r>
            <w:r w:rsidRPr="007D45C5">
              <w:rPr>
                <w:rFonts w:cstheme="minorHAnsi"/>
                <w:sz w:val="24"/>
                <w:szCs w:val="24"/>
              </w:rPr>
              <w:t>8</w:t>
            </w:r>
            <w:r w:rsidRPr="007D45C5">
              <w:rPr>
                <w:rFonts w:cstheme="minorHAnsi"/>
                <w:sz w:val="24"/>
                <w:szCs w:val="24"/>
                <w:lang w:val="en-US"/>
              </w:rPr>
              <w:t>4</w:t>
            </w:r>
            <w:r>
              <w:rPr>
                <w:rFonts w:cstheme="minorHAnsi"/>
                <w:sz w:val="24"/>
                <w:szCs w:val="24"/>
              </w:rPr>
              <w:t>,</w:t>
            </w:r>
            <w:r w:rsidRPr="007D45C5">
              <w:rPr>
                <w:rFonts w:cstheme="minorHAnsi"/>
                <w:sz w:val="24"/>
                <w:szCs w:val="24"/>
              </w:rPr>
              <w:t>6</w:t>
            </w:r>
            <w:r w:rsidRPr="007D45C5">
              <w:rPr>
                <w:rFonts w:cstheme="minorHAnsi"/>
                <w:sz w:val="24"/>
                <w:szCs w:val="24"/>
                <w:lang w:val="en-US"/>
              </w:rPr>
              <w:t>%)</w:t>
            </w:r>
          </w:p>
        </w:tc>
        <w:tc>
          <w:tcPr>
            <w:tcW w:w="2678" w:type="dxa"/>
            <w:vAlign w:val="center"/>
          </w:tcPr>
          <w:p w:rsidR="00780A22" w:rsidRPr="007D45C5" w:rsidRDefault="00780A22" w:rsidP="00780A22">
            <w:pPr>
              <w:jc w:val="center"/>
              <w:rPr>
                <w:rFonts w:cstheme="minorHAnsi"/>
                <w:sz w:val="24"/>
                <w:szCs w:val="24"/>
                <w:lang w:val="en-US"/>
              </w:rPr>
            </w:pPr>
            <w:r w:rsidRPr="007D45C5">
              <w:rPr>
                <w:rFonts w:cstheme="minorHAnsi"/>
                <w:sz w:val="24"/>
                <w:szCs w:val="24"/>
              </w:rPr>
              <w:t>2</w:t>
            </w:r>
            <w:r w:rsidRPr="007D45C5">
              <w:rPr>
                <w:rFonts w:cstheme="minorHAnsi"/>
                <w:sz w:val="24"/>
                <w:szCs w:val="24"/>
                <w:lang w:val="en-US"/>
              </w:rPr>
              <w:t>2</w:t>
            </w:r>
            <w:r w:rsidRPr="007D45C5">
              <w:rPr>
                <w:rFonts w:cstheme="minorHAnsi"/>
                <w:sz w:val="24"/>
                <w:szCs w:val="24"/>
              </w:rPr>
              <w:t>/</w:t>
            </w:r>
            <w:r w:rsidRPr="007D45C5">
              <w:rPr>
                <w:rFonts w:cstheme="minorHAnsi"/>
                <w:sz w:val="24"/>
                <w:szCs w:val="24"/>
                <w:lang w:val="en-US"/>
              </w:rPr>
              <w:t>30 (73</w:t>
            </w:r>
            <w:r>
              <w:rPr>
                <w:rFonts w:cstheme="minorHAnsi"/>
                <w:sz w:val="24"/>
                <w:szCs w:val="24"/>
              </w:rPr>
              <w:t>,</w:t>
            </w:r>
            <w:r w:rsidRPr="007D45C5">
              <w:rPr>
                <w:rFonts w:cstheme="minorHAnsi"/>
                <w:sz w:val="24"/>
                <w:szCs w:val="24"/>
                <w:lang w:val="en-US"/>
              </w:rPr>
              <w:t>3%)</w:t>
            </w:r>
          </w:p>
        </w:tc>
        <w:tc>
          <w:tcPr>
            <w:tcW w:w="1372" w:type="dxa"/>
            <w:vAlign w:val="center"/>
          </w:tcPr>
          <w:p w:rsidR="00780A22" w:rsidRPr="007D45C5" w:rsidRDefault="00780A22" w:rsidP="00780A22">
            <w:pPr>
              <w:spacing w:line="276" w:lineRule="auto"/>
              <w:jc w:val="center"/>
              <w:rPr>
                <w:rFonts w:cstheme="minorHAnsi"/>
                <w:sz w:val="24"/>
                <w:szCs w:val="24"/>
                <w:lang w:val="en-US"/>
              </w:rPr>
            </w:pPr>
            <w:r w:rsidRPr="007D45C5">
              <w:rPr>
                <w:rFonts w:cstheme="minorHAnsi"/>
                <w:sz w:val="24"/>
                <w:szCs w:val="24"/>
              </w:rPr>
              <w:t>0</w:t>
            </w:r>
            <w:r>
              <w:rPr>
                <w:rFonts w:cstheme="minorHAnsi"/>
                <w:sz w:val="24"/>
                <w:szCs w:val="24"/>
              </w:rPr>
              <w:t>,</w:t>
            </w:r>
            <w:r w:rsidRPr="007D45C5">
              <w:rPr>
                <w:rFonts w:cstheme="minorHAnsi"/>
                <w:sz w:val="24"/>
                <w:szCs w:val="24"/>
                <w:lang w:val="en-US"/>
              </w:rPr>
              <w:t>3475</w:t>
            </w:r>
          </w:p>
        </w:tc>
      </w:tr>
      <w:tr w:rsidR="00780A22" w:rsidRPr="00855524" w:rsidTr="00780A22">
        <w:trPr>
          <w:trHeight w:val="534"/>
        </w:trPr>
        <w:tc>
          <w:tcPr>
            <w:tcW w:w="3532" w:type="dxa"/>
          </w:tcPr>
          <w:p w:rsidR="00780A22" w:rsidRPr="007D45C5" w:rsidRDefault="00780A22" w:rsidP="00780A22">
            <w:pPr>
              <w:jc w:val="center"/>
              <w:rPr>
                <w:rFonts w:cstheme="minorHAnsi"/>
                <w:sz w:val="24"/>
                <w:szCs w:val="24"/>
              </w:rPr>
            </w:pPr>
            <w:r>
              <w:rPr>
                <w:rFonts w:cstheme="minorHAnsi"/>
                <w:sz w:val="24"/>
                <w:szCs w:val="24"/>
              </w:rPr>
              <w:t>Είδος ε</w:t>
            </w:r>
            <w:r w:rsidRPr="007D45C5">
              <w:rPr>
                <w:rFonts w:cstheme="minorHAnsi"/>
                <w:sz w:val="24"/>
                <w:szCs w:val="24"/>
              </w:rPr>
              <w:t>λαφριά</w:t>
            </w:r>
            <w:r>
              <w:rPr>
                <w:rFonts w:cstheme="minorHAnsi"/>
                <w:sz w:val="24"/>
                <w:szCs w:val="24"/>
              </w:rPr>
              <w:t>ς</w:t>
            </w:r>
            <w:r w:rsidRPr="007D45C5">
              <w:rPr>
                <w:rFonts w:cstheme="minorHAnsi"/>
                <w:sz w:val="24"/>
                <w:szCs w:val="24"/>
              </w:rPr>
              <w:t xml:space="preserve"> αλυσίδα</w:t>
            </w:r>
            <w:r>
              <w:rPr>
                <w:rFonts w:cstheme="minorHAnsi"/>
                <w:sz w:val="24"/>
                <w:szCs w:val="24"/>
              </w:rPr>
              <w:t>ς</w:t>
            </w:r>
          </w:p>
          <w:p w:rsidR="00780A22" w:rsidRPr="007D45C5" w:rsidRDefault="00780A22" w:rsidP="00780A22">
            <w:pPr>
              <w:jc w:val="center"/>
              <w:rPr>
                <w:rFonts w:cstheme="minorHAnsi"/>
                <w:sz w:val="24"/>
                <w:szCs w:val="24"/>
              </w:rPr>
            </w:pPr>
            <w:r w:rsidRPr="007D45C5">
              <w:rPr>
                <w:rFonts w:cstheme="minorHAnsi"/>
                <w:sz w:val="24"/>
                <w:szCs w:val="24"/>
              </w:rPr>
              <w:t>Κάππα</w:t>
            </w:r>
          </w:p>
          <w:p w:rsidR="00780A22" w:rsidRPr="007D45C5" w:rsidRDefault="00780A22" w:rsidP="00780A22">
            <w:pPr>
              <w:jc w:val="center"/>
              <w:rPr>
                <w:rFonts w:cstheme="minorHAnsi"/>
                <w:sz w:val="24"/>
                <w:szCs w:val="24"/>
              </w:rPr>
            </w:pPr>
            <w:r w:rsidRPr="007D45C5">
              <w:rPr>
                <w:rFonts w:cstheme="minorHAnsi"/>
                <w:sz w:val="24"/>
                <w:szCs w:val="24"/>
              </w:rPr>
              <w:t>Λάμδα</w:t>
            </w:r>
          </w:p>
        </w:tc>
        <w:tc>
          <w:tcPr>
            <w:tcW w:w="3038" w:type="dxa"/>
          </w:tcPr>
          <w:p w:rsidR="00780A22" w:rsidRPr="007D45C5" w:rsidRDefault="00780A22" w:rsidP="00780A22">
            <w:pPr>
              <w:jc w:val="center"/>
              <w:rPr>
                <w:rFonts w:cstheme="minorHAnsi"/>
                <w:sz w:val="24"/>
                <w:szCs w:val="24"/>
              </w:rPr>
            </w:pPr>
          </w:p>
          <w:p w:rsidR="00780A22" w:rsidRPr="007D45C5" w:rsidRDefault="00780A22" w:rsidP="00780A22">
            <w:pPr>
              <w:jc w:val="center"/>
              <w:rPr>
                <w:rFonts w:cstheme="minorHAnsi"/>
                <w:sz w:val="24"/>
                <w:szCs w:val="24"/>
                <w:lang w:val="en-US"/>
              </w:rPr>
            </w:pPr>
            <w:r w:rsidRPr="007D45C5">
              <w:rPr>
                <w:rFonts w:cstheme="minorHAnsi"/>
                <w:sz w:val="24"/>
                <w:szCs w:val="24"/>
              </w:rPr>
              <w:t>1</w:t>
            </w:r>
            <w:r w:rsidRPr="007D45C5">
              <w:rPr>
                <w:rFonts w:cstheme="minorHAnsi"/>
                <w:sz w:val="24"/>
                <w:szCs w:val="24"/>
                <w:lang w:val="en-US"/>
              </w:rPr>
              <w:t>9</w:t>
            </w:r>
            <w:r w:rsidRPr="007D45C5">
              <w:rPr>
                <w:rFonts w:cstheme="minorHAnsi"/>
                <w:sz w:val="24"/>
                <w:szCs w:val="24"/>
              </w:rPr>
              <w:t>/</w:t>
            </w:r>
            <w:r w:rsidRPr="007D45C5">
              <w:rPr>
                <w:rFonts w:cstheme="minorHAnsi"/>
                <w:sz w:val="24"/>
                <w:szCs w:val="24"/>
                <w:lang w:val="en-US"/>
              </w:rPr>
              <w:t>26 (7</w:t>
            </w:r>
            <w:r w:rsidRPr="007D45C5">
              <w:rPr>
                <w:rFonts w:cstheme="minorHAnsi"/>
                <w:sz w:val="24"/>
                <w:szCs w:val="24"/>
              </w:rPr>
              <w:t>3</w:t>
            </w:r>
            <w:r>
              <w:rPr>
                <w:rFonts w:cstheme="minorHAnsi"/>
                <w:sz w:val="24"/>
                <w:szCs w:val="24"/>
              </w:rPr>
              <w:t>,</w:t>
            </w:r>
            <w:r w:rsidRPr="007D45C5">
              <w:rPr>
                <w:rFonts w:cstheme="minorHAnsi"/>
                <w:sz w:val="24"/>
                <w:szCs w:val="24"/>
                <w:lang w:val="en-US"/>
              </w:rPr>
              <w:t>1%)</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7</w:t>
            </w:r>
            <w:r w:rsidRPr="007D45C5">
              <w:rPr>
                <w:rFonts w:cstheme="minorHAnsi"/>
                <w:sz w:val="24"/>
                <w:szCs w:val="24"/>
              </w:rPr>
              <w:t>/2</w:t>
            </w:r>
            <w:r w:rsidRPr="007D45C5">
              <w:rPr>
                <w:rFonts w:cstheme="minorHAnsi"/>
                <w:sz w:val="24"/>
                <w:szCs w:val="24"/>
                <w:lang w:val="en-US"/>
              </w:rPr>
              <w:t>6 (26</w:t>
            </w:r>
            <w:r>
              <w:rPr>
                <w:rFonts w:cstheme="minorHAnsi"/>
                <w:sz w:val="24"/>
                <w:szCs w:val="24"/>
              </w:rPr>
              <w:t>,</w:t>
            </w:r>
            <w:r w:rsidRPr="007D45C5">
              <w:rPr>
                <w:rFonts w:cstheme="minorHAnsi"/>
                <w:sz w:val="24"/>
                <w:szCs w:val="24"/>
                <w:lang w:val="en-US"/>
              </w:rPr>
              <w:t>9%)</w:t>
            </w:r>
          </w:p>
        </w:tc>
        <w:tc>
          <w:tcPr>
            <w:tcW w:w="2678" w:type="dxa"/>
          </w:tcPr>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lang w:val="en-US"/>
              </w:rPr>
            </w:pPr>
            <w:r w:rsidRPr="007D45C5">
              <w:rPr>
                <w:rFonts w:cstheme="minorHAnsi"/>
                <w:sz w:val="24"/>
                <w:szCs w:val="24"/>
              </w:rPr>
              <w:t>20/</w:t>
            </w:r>
            <w:r w:rsidRPr="007D45C5">
              <w:rPr>
                <w:rFonts w:cstheme="minorHAnsi"/>
                <w:sz w:val="24"/>
                <w:szCs w:val="24"/>
                <w:lang w:val="en-US"/>
              </w:rPr>
              <w:t>30 (70%)</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10</w:t>
            </w:r>
            <w:r w:rsidRPr="007D45C5">
              <w:rPr>
                <w:rFonts w:cstheme="minorHAnsi"/>
                <w:sz w:val="24"/>
                <w:szCs w:val="24"/>
              </w:rPr>
              <w:t>/</w:t>
            </w:r>
            <w:r w:rsidRPr="007D45C5">
              <w:rPr>
                <w:rFonts w:cstheme="minorHAnsi"/>
                <w:sz w:val="24"/>
                <w:szCs w:val="24"/>
                <w:lang w:val="en-US"/>
              </w:rPr>
              <w:t>30 (30%)</w:t>
            </w:r>
          </w:p>
        </w:tc>
        <w:tc>
          <w:tcPr>
            <w:tcW w:w="1372" w:type="dxa"/>
          </w:tcPr>
          <w:p w:rsidR="00780A22" w:rsidRPr="007D45C5" w:rsidRDefault="00780A22" w:rsidP="00780A22">
            <w:pPr>
              <w:spacing w:line="276" w:lineRule="auto"/>
              <w:jc w:val="center"/>
              <w:rPr>
                <w:rFonts w:cstheme="minorHAnsi"/>
                <w:sz w:val="24"/>
                <w:szCs w:val="24"/>
                <w:lang w:val="en-US"/>
              </w:rPr>
            </w:pPr>
            <w:r w:rsidRPr="007D45C5">
              <w:rPr>
                <w:rFonts w:cstheme="minorHAnsi"/>
                <w:sz w:val="24"/>
                <w:szCs w:val="24"/>
              </w:rPr>
              <w:t>0</w:t>
            </w:r>
            <w:r>
              <w:rPr>
                <w:rFonts w:cstheme="minorHAnsi"/>
                <w:sz w:val="24"/>
                <w:szCs w:val="24"/>
              </w:rPr>
              <w:t>,</w:t>
            </w:r>
            <w:r w:rsidRPr="007D45C5">
              <w:rPr>
                <w:rFonts w:cstheme="minorHAnsi"/>
                <w:sz w:val="24"/>
                <w:szCs w:val="24"/>
                <w:lang w:val="en-US"/>
              </w:rPr>
              <w:t>7719</w:t>
            </w:r>
          </w:p>
        </w:tc>
      </w:tr>
      <w:tr w:rsidR="00780A22" w:rsidRPr="00855524" w:rsidTr="00780A22">
        <w:trPr>
          <w:trHeight w:val="534"/>
        </w:trPr>
        <w:tc>
          <w:tcPr>
            <w:tcW w:w="3532" w:type="dxa"/>
          </w:tcPr>
          <w:p w:rsidR="00780A22" w:rsidRPr="00780A22" w:rsidRDefault="00780A22" w:rsidP="00780A22">
            <w:pPr>
              <w:jc w:val="center"/>
              <w:rPr>
                <w:rFonts w:cstheme="minorHAnsi"/>
                <w:sz w:val="24"/>
                <w:szCs w:val="24"/>
              </w:rPr>
            </w:pPr>
            <w:r w:rsidRPr="007D45C5">
              <w:rPr>
                <w:rFonts w:cstheme="minorHAnsi"/>
                <w:sz w:val="24"/>
                <w:szCs w:val="24"/>
              </w:rPr>
              <w:t>Θεραπεία</w:t>
            </w:r>
            <w:r w:rsidRPr="00780A22">
              <w:rPr>
                <w:rFonts w:cstheme="minorHAnsi"/>
                <w:sz w:val="24"/>
                <w:szCs w:val="24"/>
              </w:rPr>
              <w:t xml:space="preserve"> 1</w:t>
            </w:r>
            <w:r w:rsidRPr="007D45C5">
              <w:rPr>
                <w:rFonts w:cstheme="minorHAnsi"/>
                <w:sz w:val="24"/>
                <w:szCs w:val="24"/>
                <w:vertAlign w:val="superscript"/>
              </w:rPr>
              <w:t>ης</w:t>
            </w:r>
            <w:r w:rsidRPr="00780A22">
              <w:rPr>
                <w:rFonts w:cstheme="minorHAnsi"/>
                <w:sz w:val="24"/>
                <w:szCs w:val="24"/>
              </w:rPr>
              <w:t xml:space="preserve"> </w:t>
            </w:r>
            <w:r w:rsidRPr="007D45C5">
              <w:rPr>
                <w:rFonts w:cstheme="minorHAnsi"/>
                <w:sz w:val="24"/>
                <w:szCs w:val="24"/>
              </w:rPr>
              <w:t>γραμμής</w:t>
            </w:r>
          </w:p>
          <w:p w:rsidR="00780A22" w:rsidRPr="00780A22" w:rsidRDefault="00780A22" w:rsidP="00780A22">
            <w:pPr>
              <w:jc w:val="center"/>
              <w:rPr>
                <w:rFonts w:cstheme="minorHAnsi"/>
                <w:sz w:val="8"/>
                <w:szCs w:val="8"/>
              </w:rPr>
            </w:pPr>
          </w:p>
          <w:p w:rsidR="00780A22" w:rsidRPr="00780A22" w:rsidRDefault="00780A22" w:rsidP="00780A22">
            <w:pPr>
              <w:jc w:val="center"/>
              <w:rPr>
                <w:rFonts w:cstheme="minorHAnsi"/>
                <w:sz w:val="24"/>
                <w:szCs w:val="24"/>
              </w:rPr>
            </w:pPr>
            <w:r w:rsidRPr="007D45C5">
              <w:rPr>
                <w:rFonts w:cstheme="minorHAnsi"/>
                <w:sz w:val="24"/>
                <w:szCs w:val="24"/>
                <w:lang w:val="en-US"/>
              </w:rPr>
              <w:t>Bortezomib</w:t>
            </w:r>
            <w:r w:rsidRPr="00780A22">
              <w:rPr>
                <w:rFonts w:cstheme="minorHAnsi"/>
                <w:sz w:val="24"/>
                <w:szCs w:val="24"/>
              </w:rPr>
              <w:t>-</w:t>
            </w:r>
            <w:r w:rsidRPr="007D45C5">
              <w:rPr>
                <w:rFonts w:cstheme="minorHAnsi"/>
                <w:sz w:val="24"/>
                <w:szCs w:val="24"/>
                <w:lang w:val="en-US"/>
              </w:rPr>
              <w:t>based</w:t>
            </w:r>
            <w:r w:rsidRPr="00780A22">
              <w:rPr>
                <w:rFonts w:cstheme="minorHAnsi"/>
                <w:sz w:val="24"/>
                <w:szCs w:val="24"/>
              </w:rPr>
              <w:t xml:space="preserve"> (</w:t>
            </w:r>
            <w:r>
              <w:rPr>
                <w:rFonts w:cstheme="minorHAnsi"/>
                <w:sz w:val="24"/>
                <w:szCs w:val="24"/>
                <w:lang w:val="en-US"/>
              </w:rPr>
              <w:t>PI</w:t>
            </w:r>
            <w:r w:rsidRPr="00780A22">
              <w:rPr>
                <w:rFonts w:cstheme="minorHAnsi"/>
                <w:sz w:val="24"/>
                <w:szCs w:val="24"/>
              </w:rPr>
              <w:t>)</w:t>
            </w:r>
          </w:p>
          <w:p w:rsidR="00780A22" w:rsidRPr="00780A22" w:rsidRDefault="00780A22" w:rsidP="00780A22">
            <w:pPr>
              <w:jc w:val="center"/>
              <w:rPr>
                <w:rFonts w:cstheme="minorHAnsi"/>
                <w:sz w:val="24"/>
                <w:szCs w:val="24"/>
              </w:rPr>
            </w:pPr>
          </w:p>
          <w:p w:rsidR="00780A22" w:rsidRPr="00780A22" w:rsidRDefault="00780A22" w:rsidP="00780A22">
            <w:pPr>
              <w:jc w:val="center"/>
              <w:rPr>
                <w:rFonts w:cstheme="minorHAnsi"/>
                <w:sz w:val="8"/>
                <w:szCs w:val="8"/>
              </w:rPr>
            </w:pPr>
          </w:p>
          <w:p w:rsidR="00780A22" w:rsidRPr="00780A22" w:rsidRDefault="00780A22" w:rsidP="00780A22">
            <w:pPr>
              <w:jc w:val="center"/>
              <w:rPr>
                <w:rFonts w:cstheme="minorHAnsi"/>
                <w:sz w:val="24"/>
                <w:szCs w:val="24"/>
              </w:rPr>
            </w:pPr>
            <w:r w:rsidRPr="007D45C5">
              <w:rPr>
                <w:rFonts w:cstheme="minorHAnsi"/>
                <w:sz w:val="24"/>
                <w:szCs w:val="24"/>
                <w:lang w:val="en-US"/>
              </w:rPr>
              <w:t>IMiD</w:t>
            </w:r>
            <w:r w:rsidRPr="00780A22">
              <w:rPr>
                <w:rFonts w:cstheme="minorHAnsi"/>
                <w:sz w:val="24"/>
                <w:szCs w:val="24"/>
              </w:rPr>
              <w:t>-</w:t>
            </w:r>
            <w:r w:rsidRPr="007D45C5">
              <w:rPr>
                <w:rFonts w:cstheme="minorHAnsi"/>
                <w:sz w:val="24"/>
                <w:szCs w:val="24"/>
                <w:lang w:val="en-US"/>
              </w:rPr>
              <w:t>based</w:t>
            </w:r>
          </w:p>
          <w:p w:rsidR="00780A22" w:rsidRPr="00780A22" w:rsidRDefault="00780A22" w:rsidP="00780A22">
            <w:pPr>
              <w:jc w:val="center"/>
              <w:rPr>
                <w:rFonts w:cstheme="minorHAnsi"/>
                <w:sz w:val="24"/>
                <w:szCs w:val="24"/>
              </w:rPr>
            </w:pPr>
          </w:p>
          <w:p w:rsidR="00780A22" w:rsidRPr="00780A22" w:rsidRDefault="00780A22" w:rsidP="00780A22">
            <w:pPr>
              <w:jc w:val="center"/>
              <w:rPr>
                <w:rFonts w:cstheme="minorHAnsi"/>
                <w:sz w:val="8"/>
                <w:szCs w:val="8"/>
              </w:rPr>
            </w:pPr>
          </w:p>
          <w:p w:rsidR="00780A22" w:rsidRPr="00437568" w:rsidRDefault="00780A22" w:rsidP="00780A22">
            <w:pPr>
              <w:jc w:val="center"/>
              <w:rPr>
                <w:rFonts w:cstheme="minorHAnsi"/>
                <w:sz w:val="24"/>
                <w:szCs w:val="24"/>
              </w:rPr>
            </w:pPr>
            <w:r>
              <w:rPr>
                <w:rFonts w:cstheme="minorHAnsi"/>
                <w:sz w:val="24"/>
                <w:szCs w:val="24"/>
              </w:rPr>
              <w:t>Συνδυασμός</w:t>
            </w:r>
            <w:r w:rsidRPr="00437568">
              <w:rPr>
                <w:rFonts w:cstheme="minorHAnsi"/>
                <w:sz w:val="24"/>
                <w:szCs w:val="24"/>
              </w:rPr>
              <w:t xml:space="preserve"> </w:t>
            </w:r>
            <w:r>
              <w:rPr>
                <w:rFonts w:cstheme="minorHAnsi"/>
                <w:sz w:val="24"/>
                <w:szCs w:val="24"/>
                <w:lang w:val="en-US"/>
              </w:rPr>
              <w:t>PI</w:t>
            </w:r>
            <w:r w:rsidRPr="007D45C5">
              <w:rPr>
                <w:rFonts w:cstheme="minorHAnsi"/>
                <w:sz w:val="24"/>
                <w:szCs w:val="24"/>
              </w:rPr>
              <w:t xml:space="preserve"> </w:t>
            </w:r>
            <w:r>
              <w:rPr>
                <w:rFonts w:cstheme="minorHAnsi"/>
                <w:sz w:val="24"/>
                <w:szCs w:val="24"/>
              </w:rPr>
              <w:t>και</w:t>
            </w:r>
            <w:r w:rsidRPr="00437568">
              <w:rPr>
                <w:rFonts w:cstheme="minorHAnsi"/>
                <w:sz w:val="24"/>
                <w:szCs w:val="24"/>
              </w:rPr>
              <w:t xml:space="preserve"> </w:t>
            </w:r>
            <w:r w:rsidRPr="007D45C5">
              <w:rPr>
                <w:rFonts w:cstheme="minorHAnsi"/>
                <w:sz w:val="24"/>
                <w:szCs w:val="24"/>
                <w:lang w:val="en-US"/>
              </w:rPr>
              <w:t>IMi</w:t>
            </w:r>
            <w:r>
              <w:rPr>
                <w:rFonts w:cstheme="minorHAnsi"/>
                <w:sz w:val="24"/>
                <w:szCs w:val="24"/>
                <w:lang w:val="en-US"/>
              </w:rPr>
              <w:t>D</w:t>
            </w:r>
          </w:p>
          <w:p w:rsidR="00780A22" w:rsidRPr="007D45C5" w:rsidRDefault="00780A22" w:rsidP="00780A22">
            <w:pPr>
              <w:jc w:val="center"/>
              <w:rPr>
                <w:rFonts w:cstheme="minorHAnsi"/>
                <w:sz w:val="8"/>
                <w:szCs w:val="8"/>
              </w:rPr>
            </w:pPr>
          </w:p>
          <w:p w:rsidR="00780A22" w:rsidRPr="007D45C5" w:rsidRDefault="00780A22" w:rsidP="00780A22">
            <w:pPr>
              <w:jc w:val="center"/>
              <w:rPr>
                <w:rFonts w:cstheme="minorHAnsi"/>
                <w:sz w:val="24"/>
                <w:szCs w:val="24"/>
                <w:lang w:val="en-US"/>
              </w:rPr>
            </w:pPr>
            <w:r>
              <w:rPr>
                <w:rFonts w:cstheme="minorHAnsi"/>
                <w:sz w:val="24"/>
                <w:szCs w:val="24"/>
              </w:rPr>
              <w:t>Χήμειο</w:t>
            </w:r>
            <w:r w:rsidRPr="007D45C5">
              <w:rPr>
                <w:rFonts w:cstheme="minorHAnsi"/>
                <w:sz w:val="24"/>
                <w:szCs w:val="24"/>
                <w:lang w:val="en-US"/>
              </w:rPr>
              <w:t>-</w:t>
            </w:r>
            <w:r>
              <w:rPr>
                <w:rFonts w:cstheme="minorHAnsi"/>
                <w:sz w:val="24"/>
                <w:szCs w:val="24"/>
              </w:rPr>
              <w:t>μόνο</w:t>
            </w:r>
          </w:p>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rPr>
            </w:pPr>
            <w:r>
              <w:rPr>
                <w:rFonts w:cstheme="minorHAnsi"/>
                <w:sz w:val="24"/>
                <w:szCs w:val="24"/>
              </w:rPr>
              <w:t>Αυτόλογη Μεταμόσχευση</w:t>
            </w:r>
          </w:p>
        </w:tc>
        <w:tc>
          <w:tcPr>
            <w:tcW w:w="3038" w:type="dxa"/>
          </w:tcPr>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8"/>
                <w:szCs w:val="8"/>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14 (53</w:t>
            </w:r>
            <w:r w:rsidRPr="00780A22">
              <w:rPr>
                <w:rFonts w:cstheme="minorHAnsi"/>
                <w:sz w:val="24"/>
                <w:szCs w:val="24"/>
                <w:lang w:val="en-US"/>
              </w:rPr>
              <w:t>,</w:t>
            </w:r>
            <w:r w:rsidRPr="007D45C5">
              <w:rPr>
                <w:rFonts w:cstheme="minorHAnsi"/>
                <w:sz w:val="24"/>
                <w:szCs w:val="24"/>
                <w:lang w:val="en-US"/>
              </w:rPr>
              <w:t>8%)</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(VCD 10, PAD 3, VMP 1)</w:t>
            </w:r>
          </w:p>
          <w:p w:rsidR="00780A22" w:rsidRPr="007D45C5" w:rsidRDefault="00780A22" w:rsidP="00780A22">
            <w:pPr>
              <w:jc w:val="center"/>
              <w:rPr>
                <w:rFonts w:cstheme="minorHAnsi"/>
                <w:sz w:val="8"/>
                <w:szCs w:val="8"/>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8 (30</w:t>
            </w:r>
            <w:r w:rsidRPr="00780A22">
              <w:rPr>
                <w:rFonts w:cstheme="minorHAnsi"/>
                <w:sz w:val="24"/>
                <w:szCs w:val="24"/>
                <w:lang w:val="en-US"/>
              </w:rPr>
              <w:t>,</w:t>
            </w:r>
            <w:r w:rsidRPr="007D45C5">
              <w:rPr>
                <w:rFonts w:cstheme="minorHAnsi"/>
                <w:sz w:val="24"/>
                <w:szCs w:val="24"/>
                <w:lang w:val="en-US"/>
              </w:rPr>
              <w:t>8%)</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(Rd 4, CTD 2, MTD 1, MPR 1)</w:t>
            </w:r>
          </w:p>
          <w:p w:rsidR="00780A22" w:rsidRPr="007D45C5" w:rsidRDefault="00780A22" w:rsidP="00780A22">
            <w:pPr>
              <w:jc w:val="center"/>
              <w:rPr>
                <w:rFonts w:cstheme="minorHAnsi"/>
                <w:sz w:val="8"/>
                <w:szCs w:val="8"/>
                <w:lang w:val="en-US"/>
              </w:rPr>
            </w:pPr>
          </w:p>
          <w:p w:rsidR="00780A22" w:rsidRDefault="00780A22" w:rsidP="00780A22">
            <w:pPr>
              <w:jc w:val="center"/>
              <w:rPr>
                <w:rFonts w:cstheme="minorHAnsi"/>
                <w:sz w:val="24"/>
                <w:szCs w:val="24"/>
              </w:rPr>
            </w:pPr>
            <w:r w:rsidRPr="007D45C5">
              <w:rPr>
                <w:rFonts w:cstheme="minorHAnsi"/>
                <w:sz w:val="24"/>
                <w:szCs w:val="24"/>
                <w:lang w:val="en-US"/>
              </w:rPr>
              <w:t>3 (11</w:t>
            </w:r>
            <w:r>
              <w:rPr>
                <w:rFonts w:cstheme="minorHAnsi"/>
                <w:sz w:val="24"/>
                <w:szCs w:val="24"/>
              </w:rPr>
              <w:t>,</w:t>
            </w:r>
            <w:r w:rsidRPr="007D45C5">
              <w:rPr>
                <w:rFonts w:cstheme="minorHAnsi"/>
                <w:sz w:val="24"/>
                <w:szCs w:val="24"/>
                <w:lang w:val="en-US"/>
              </w:rPr>
              <w:t xml:space="preserve">5%, </w:t>
            </w:r>
            <w:r>
              <w:rPr>
                <w:rFonts w:cstheme="minorHAnsi"/>
                <w:sz w:val="24"/>
                <w:szCs w:val="24"/>
              </w:rPr>
              <w:t>όλοι</w:t>
            </w:r>
            <w:r w:rsidRPr="007D45C5">
              <w:rPr>
                <w:rFonts w:cstheme="minorHAnsi"/>
                <w:sz w:val="24"/>
                <w:szCs w:val="24"/>
                <w:lang w:val="en-US"/>
              </w:rPr>
              <w:t xml:space="preserve"> VTD)</w:t>
            </w:r>
          </w:p>
          <w:p w:rsidR="00780A22" w:rsidRPr="007D45C5" w:rsidRDefault="00780A22" w:rsidP="00780A22">
            <w:pPr>
              <w:jc w:val="center"/>
              <w:rPr>
                <w:rFonts w:cstheme="minorHAnsi"/>
                <w:sz w:val="8"/>
                <w:szCs w:val="8"/>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1 (3</w:t>
            </w:r>
            <w:r>
              <w:rPr>
                <w:rFonts w:cstheme="minorHAnsi"/>
                <w:sz w:val="24"/>
                <w:szCs w:val="24"/>
              </w:rPr>
              <w:t>,</w:t>
            </w:r>
            <w:r w:rsidRPr="007D45C5">
              <w:rPr>
                <w:rFonts w:cstheme="minorHAnsi"/>
                <w:sz w:val="24"/>
                <w:szCs w:val="24"/>
                <w:lang w:val="en-US"/>
              </w:rPr>
              <w:t xml:space="preserve">8%, </w:t>
            </w:r>
            <w:r>
              <w:rPr>
                <w:rFonts w:cstheme="minorHAnsi"/>
                <w:sz w:val="24"/>
                <w:szCs w:val="24"/>
              </w:rPr>
              <w:t>όλοι</w:t>
            </w:r>
            <w:r w:rsidRPr="007D45C5">
              <w:rPr>
                <w:rFonts w:cstheme="minorHAnsi"/>
                <w:sz w:val="24"/>
                <w:szCs w:val="24"/>
                <w:lang w:val="en-US"/>
              </w:rPr>
              <w:t xml:space="preserve"> VAD)</w:t>
            </w:r>
          </w:p>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17/26 (65</w:t>
            </w:r>
            <w:r>
              <w:rPr>
                <w:rFonts w:cstheme="minorHAnsi"/>
                <w:sz w:val="24"/>
                <w:szCs w:val="24"/>
              </w:rPr>
              <w:t>,</w:t>
            </w:r>
            <w:r w:rsidRPr="007D45C5">
              <w:rPr>
                <w:rFonts w:cstheme="minorHAnsi"/>
                <w:sz w:val="24"/>
                <w:szCs w:val="24"/>
                <w:lang w:val="en-US"/>
              </w:rPr>
              <w:t>4%)</w:t>
            </w:r>
          </w:p>
        </w:tc>
        <w:tc>
          <w:tcPr>
            <w:tcW w:w="2678" w:type="dxa"/>
          </w:tcPr>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8"/>
                <w:szCs w:val="8"/>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18 (60%)</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(VCD 14, PAD 3, VMP 1)</w:t>
            </w:r>
          </w:p>
          <w:p w:rsidR="00780A22" w:rsidRPr="007D45C5" w:rsidRDefault="00780A22" w:rsidP="00780A22">
            <w:pPr>
              <w:jc w:val="center"/>
              <w:rPr>
                <w:rFonts w:cstheme="minorHAnsi"/>
                <w:sz w:val="8"/>
                <w:szCs w:val="8"/>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7 (23</w:t>
            </w:r>
            <w:r w:rsidRPr="00780A22">
              <w:rPr>
                <w:rFonts w:cstheme="minorHAnsi"/>
                <w:sz w:val="24"/>
                <w:szCs w:val="24"/>
                <w:lang w:val="en-US"/>
              </w:rPr>
              <w:t>,</w:t>
            </w:r>
            <w:r w:rsidRPr="007D45C5">
              <w:rPr>
                <w:rFonts w:cstheme="minorHAnsi"/>
                <w:sz w:val="24"/>
                <w:szCs w:val="24"/>
                <w:lang w:val="en-US"/>
              </w:rPr>
              <w:t>3%)</w:t>
            </w:r>
          </w:p>
          <w:p w:rsidR="00780A22" w:rsidRPr="007D45C5" w:rsidRDefault="00780A22" w:rsidP="00780A22">
            <w:pPr>
              <w:jc w:val="center"/>
              <w:rPr>
                <w:rFonts w:cstheme="minorHAnsi"/>
                <w:sz w:val="24"/>
                <w:szCs w:val="24"/>
                <w:lang w:val="en-US"/>
              </w:rPr>
            </w:pPr>
            <w:r w:rsidRPr="007D45C5">
              <w:rPr>
                <w:rFonts w:cstheme="minorHAnsi"/>
                <w:sz w:val="24"/>
                <w:szCs w:val="24"/>
                <w:lang w:val="en-US"/>
              </w:rPr>
              <w:t>(Rd 5, EloRd 1)</w:t>
            </w:r>
          </w:p>
          <w:p w:rsidR="00780A22" w:rsidRPr="007D45C5" w:rsidRDefault="00780A22" w:rsidP="00780A22">
            <w:pPr>
              <w:jc w:val="center"/>
              <w:rPr>
                <w:rFonts w:cstheme="minorHAnsi"/>
                <w:sz w:val="8"/>
                <w:szCs w:val="8"/>
                <w:lang w:val="en-US"/>
              </w:rPr>
            </w:pPr>
          </w:p>
          <w:p w:rsidR="00780A22" w:rsidRDefault="00780A22" w:rsidP="00780A22">
            <w:pPr>
              <w:jc w:val="center"/>
              <w:rPr>
                <w:rFonts w:cstheme="minorHAnsi"/>
                <w:sz w:val="24"/>
                <w:szCs w:val="24"/>
              </w:rPr>
            </w:pPr>
            <w:r w:rsidRPr="007D45C5">
              <w:rPr>
                <w:rFonts w:cstheme="minorHAnsi"/>
                <w:sz w:val="24"/>
                <w:szCs w:val="24"/>
                <w:lang w:val="en-US"/>
              </w:rPr>
              <w:t xml:space="preserve">3 (10%, </w:t>
            </w:r>
            <w:r>
              <w:rPr>
                <w:rFonts w:cstheme="minorHAnsi"/>
                <w:sz w:val="24"/>
                <w:szCs w:val="24"/>
              </w:rPr>
              <w:t>όλοι</w:t>
            </w:r>
            <w:r w:rsidRPr="007D45C5">
              <w:rPr>
                <w:rFonts w:cstheme="minorHAnsi"/>
                <w:sz w:val="24"/>
                <w:szCs w:val="24"/>
                <w:lang w:val="en-US"/>
              </w:rPr>
              <w:t xml:space="preserve"> VTD)</w:t>
            </w:r>
          </w:p>
          <w:p w:rsidR="00780A22" w:rsidRPr="007D45C5" w:rsidRDefault="00780A22" w:rsidP="00780A22">
            <w:pPr>
              <w:jc w:val="center"/>
              <w:rPr>
                <w:rFonts w:cstheme="minorHAnsi"/>
                <w:sz w:val="8"/>
                <w:szCs w:val="8"/>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2 (6</w:t>
            </w:r>
            <w:r>
              <w:rPr>
                <w:rFonts w:cstheme="minorHAnsi"/>
                <w:sz w:val="24"/>
                <w:szCs w:val="24"/>
              </w:rPr>
              <w:t>,</w:t>
            </w:r>
            <w:r w:rsidRPr="007D45C5">
              <w:rPr>
                <w:rFonts w:cstheme="minorHAnsi"/>
                <w:sz w:val="24"/>
                <w:szCs w:val="24"/>
                <w:lang w:val="en-US"/>
              </w:rPr>
              <w:t>7%, VAD)</w:t>
            </w:r>
          </w:p>
          <w:p w:rsidR="00780A22" w:rsidRPr="007D45C5" w:rsidRDefault="00780A22" w:rsidP="00780A22">
            <w:pPr>
              <w:jc w:val="center"/>
              <w:rPr>
                <w:rFonts w:cstheme="minorHAnsi"/>
                <w:sz w:val="24"/>
                <w:szCs w:val="24"/>
                <w:lang w:val="en-US"/>
              </w:rPr>
            </w:pPr>
          </w:p>
          <w:p w:rsidR="00780A22" w:rsidRPr="007D45C5" w:rsidRDefault="00780A22" w:rsidP="00780A22">
            <w:pPr>
              <w:jc w:val="center"/>
              <w:rPr>
                <w:rFonts w:cstheme="minorHAnsi"/>
                <w:sz w:val="24"/>
                <w:szCs w:val="24"/>
                <w:lang w:val="en-US"/>
              </w:rPr>
            </w:pPr>
            <w:r w:rsidRPr="007D45C5">
              <w:rPr>
                <w:rFonts w:cstheme="minorHAnsi"/>
                <w:sz w:val="24"/>
                <w:szCs w:val="24"/>
                <w:lang w:val="en-US"/>
              </w:rPr>
              <w:t>23/30 (76</w:t>
            </w:r>
            <w:r>
              <w:rPr>
                <w:rFonts w:cstheme="minorHAnsi"/>
                <w:sz w:val="24"/>
                <w:szCs w:val="24"/>
              </w:rPr>
              <w:t>,</w:t>
            </w:r>
            <w:r w:rsidRPr="007D45C5">
              <w:rPr>
                <w:rFonts w:cstheme="minorHAnsi"/>
                <w:sz w:val="24"/>
                <w:szCs w:val="24"/>
                <w:lang w:val="en-US"/>
              </w:rPr>
              <w:t>7%)</w:t>
            </w:r>
          </w:p>
        </w:tc>
        <w:tc>
          <w:tcPr>
            <w:tcW w:w="1372" w:type="dxa"/>
          </w:tcPr>
          <w:p w:rsidR="00780A22" w:rsidRPr="007D45C5" w:rsidRDefault="00780A22" w:rsidP="00780A22">
            <w:pPr>
              <w:spacing w:after="200" w:line="276" w:lineRule="auto"/>
              <w:jc w:val="center"/>
              <w:rPr>
                <w:rFonts w:cstheme="minorHAnsi"/>
                <w:sz w:val="24"/>
                <w:szCs w:val="24"/>
                <w:lang w:val="en-US"/>
              </w:rPr>
            </w:pPr>
          </w:p>
        </w:tc>
      </w:tr>
      <w:tr w:rsidR="00780A22" w:rsidRPr="0051532E" w:rsidTr="00780A22">
        <w:trPr>
          <w:trHeight w:val="534"/>
        </w:trPr>
        <w:tc>
          <w:tcPr>
            <w:tcW w:w="3532" w:type="dxa"/>
            <w:vAlign w:val="center"/>
          </w:tcPr>
          <w:p w:rsidR="00780A22" w:rsidRPr="007D45C5" w:rsidRDefault="00780A22" w:rsidP="00780A22">
            <w:pPr>
              <w:jc w:val="center"/>
              <w:rPr>
                <w:rFonts w:cstheme="minorHAnsi"/>
                <w:sz w:val="24"/>
                <w:szCs w:val="24"/>
              </w:rPr>
            </w:pPr>
            <w:r w:rsidRPr="007D45C5">
              <w:rPr>
                <w:rFonts w:cstheme="minorHAnsi"/>
                <w:sz w:val="24"/>
                <w:szCs w:val="24"/>
              </w:rPr>
              <w:t>Παραμονή σε πλή</w:t>
            </w:r>
            <w:r w:rsidR="00173578">
              <w:rPr>
                <w:rFonts w:cstheme="minorHAnsi"/>
                <w:sz w:val="24"/>
                <w:szCs w:val="24"/>
              </w:rPr>
              <w:t xml:space="preserve">ρη ύφεση κατά τον έλεγχο της </w:t>
            </w:r>
            <w:r w:rsidR="00173578">
              <w:rPr>
                <w:rFonts w:cstheme="minorHAnsi"/>
                <w:sz w:val="24"/>
                <w:szCs w:val="24"/>
                <w:lang w:val="en-US"/>
              </w:rPr>
              <w:t>MRD</w:t>
            </w:r>
            <w:r w:rsidRPr="007D45C5">
              <w:rPr>
                <w:rFonts w:cstheme="minorHAnsi"/>
                <w:sz w:val="24"/>
                <w:szCs w:val="24"/>
              </w:rPr>
              <w:t xml:space="preserve"> (Μήνες)</w:t>
            </w:r>
          </w:p>
        </w:tc>
        <w:tc>
          <w:tcPr>
            <w:tcW w:w="3038" w:type="dxa"/>
            <w:vAlign w:val="center"/>
          </w:tcPr>
          <w:p w:rsidR="00780A22" w:rsidRPr="007D45C5" w:rsidRDefault="00780A22" w:rsidP="00780A22">
            <w:pPr>
              <w:jc w:val="center"/>
              <w:rPr>
                <w:rFonts w:cstheme="minorHAnsi"/>
                <w:sz w:val="24"/>
                <w:szCs w:val="24"/>
                <w:lang w:val="en-US"/>
              </w:rPr>
            </w:pPr>
            <w:r w:rsidRPr="007D45C5">
              <w:rPr>
                <w:rFonts w:cstheme="minorHAnsi"/>
                <w:sz w:val="24"/>
                <w:szCs w:val="24"/>
                <w:lang w:val="en-US"/>
              </w:rPr>
              <w:t>62</w:t>
            </w:r>
            <w:r>
              <w:rPr>
                <w:rFonts w:cstheme="minorHAnsi"/>
                <w:sz w:val="24"/>
                <w:szCs w:val="24"/>
              </w:rPr>
              <w:t>,</w:t>
            </w:r>
            <w:r w:rsidRPr="007D45C5">
              <w:rPr>
                <w:rFonts w:cstheme="minorHAnsi"/>
                <w:sz w:val="24"/>
                <w:szCs w:val="24"/>
                <w:lang w:val="en-US"/>
              </w:rPr>
              <w:t>5 (24-187)</w:t>
            </w:r>
          </w:p>
        </w:tc>
        <w:tc>
          <w:tcPr>
            <w:tcW w:w="2678" w:type="dxa"/>
            <w:vAlign w:val="center"/>
          </w:tcPr>
          <w:p w:rsidR="00780A22" w:rsidRPr="007D45C5" w:rsidRDefault="00780A22" w:rsidP="00780A22">
            <w:pPr>
              <w:jc w:val="center"/>
              <w:rPr>
                <w:rFonts w:cstheme="minorHAnsi"/>
                <w:sz w:val="24"/>
                <w:szCs w:val="24"/>
                <w:lang w:val="en-US"/>
              </w:rPr>
            </w:pPr>
            <w:r>
              <w:rPr>
                <w:rFonts w:cstheme="minorHAnsi"/>
                <w:sz w:val="24"/>
                <w:szCs w:val="24"/>
              </w:rPr>
              <w:t>5</w:t>
            </w:r>
            <w:r w:rsidRPr="007D45C5">
              <w:rPr>
                <w:rFonts w:cstheme="minorHAnsi"/>
                <w:sz w:val="24"/>
                <w:szCs w:val="24"/>
                <w:lang w:val="en-US"/>
              </w:rPr>
              <w:t>8</w:t>
            </w:r>
            <w:r>
              <w:rPr>
                <w:rFonts w:cstheme="minorHAnsi"/>
                <w:sz w:val="24"/>
                <w:szCs w:val="24"/>
              </w:rPr>
              <w:t>,</w:t>
            </w:r>
            <w:r w:rsidRPr="007D45C5">
              <w:rPr>
                <w:rFonts w:cstheme="minorHAnsi"/>
                <w:sz w:val="24"/>
                <w:szCs w:val="24"/>
                <w:lang w:val="en-US"/>
              </w:rPr>
              <w:t>5 (24-197)</w:t>
            </w:r>
          </w:p>
        </w:tc>
        <w:tc>
          <w:tcPr>
            <w:tcW w:w="1372" w:type="dxa"/>
            <w:vAlign w:val="center"/>
          </w:tcPr>
          <w:p w:rsidR="00780A22" w:rsidRPr="007D45C5" w:rsidRDefault="00780A22" w:rsidP="00780A22">
            <w:pPr>
              <w:spacing w:line="276" w:lineRule="auto"/>
              <w:jc w:val="center"/>
              <w:rPr>
                <w:rFonts w:cstheme="minorHAnsi"/>
                <w:sz w:val="24"/>
                <w:szCs w:val="24"/>
                <w:lang w:val="en-US"/>
              </w:rPr>
            </w:pPr>
            <w:r w:rsidRPr="007D45C5">
              <w:rPr>
                <w:rFonts w:cstheme="minorHAnsi"/>
                <w:sz w:val="24"/>
                <w:szCs w:val="24"/>
                <w:lang w:val="en-US"/>
              </w:rPr>
              <w:t>0</w:t>
            </w:r>
            <w:r>
              <w:rPr>
                <w:rFonts w:cstheme="minorHAnsi"/>
                <w:sz w:val="24"/>
                <w:szCs w:val="24"/>
              </w:rPr>
              <w:t>,</w:t>
            </w:r>
            <w:r w:rsidRPr="007D45C5">
              <w:rPr>
                <w:rFonts w:cstheme="minorHAnsi"/>
                <w:sz w:val="24"/>
                <w:szCs w:val="24"/>
                <w:lang w:val="en-US"/>
              </w:rPr>
              <w:t>4569</w:t>
            </w:r>
          </w:p>
        </w:tc>
      </w:tr>
    </w:tbl>
    <w:p w:rsidR="00780A22" w:rsidRPr="007D45C5" w:rsidRDefault="00780A22" w:rsidP="00780A22">
      <w:pPr>
        <w:pStyle w:val="a9"/>
        <w:ind w:left="-567"/>
        <w:rPr>
          <w:sz w:val="2"/>
          <w:szCs w:val="2"/>
        </w:rPr>
      </w:pPr>
    </w:p>
    <w:p w:rsidR="00780A22" w:rsidRPr="00CC360F" w:rsidRDefault="00780A22" w:rsidP="00243CB6">
      <w:pPr>
        <w:pStyle w:val="a9"/>
        <w:ind w:left="-567"/>
        <w:sectPr w:rsidR="00780A22" w:rsidRPr="00CC360F" w:rsidSect="00780A22">
          <w:pgSz w:w="11906" w:h="16838"/>
          <w:pgMar w:top="993" w:right="566" w:bottom="851" w:left="1800" w:header="708" w:footer="708" w:gutter="0"/>
          <w:cols w:space="708"/>
          <w:docGrid w:linePitch="360"/>
        </w:sectPr>
      </w:pPr>
      <w:r w:rsidRPr="007D45C5">
        <w:t>*</w:t>
      </w:r>
      <w:r>
        <w:t>Όλες</w:t>
      </w:r>
      <w:r w:rsidRPr="007A11DF">
        <w:t xml:space="preserve"> </w:t>
      </w:r>
      <w:r>
        <w:t>οι</w:t>
      </w:r>
      <w:r w:rsidRPr="007A11DF">
        <w:t xml:space="preserve"> </w:t>
      </w:r>
      <w:r>
        <w:t>μετρήσεις</w:t>
      </w:r>
      <w:r w:rsidRPr="007A11DF">
        <w:t xml:space="preserve"> </w:t>
      </w:r>
      <w:r>
        <w:t>στις</w:t>
      </w:r>
      <w:r w:rsidRPr="007A11DF">
        <w:t xml:space="preserve"> </w:t>
      </w:r>
      <w:r>
        <w:t>μη</w:t>
      </w:r>
      <w:r w:rsidRPr="007A11DF">
        <w:t xml:space="preserve"> </w:t>
      </w:r>
      <w:r>
        <w:t>κατηγορικές</w:t>
      </w:r>
      <w:r w:rsidRPr="007A11DF">
        <w:t xml:space="preserve"> </w:t>
      </w:r>
      <w:r>
        <w:t>μεταβλητές</w:t>
      </w:r>
      <w:r w:rsidRPr="007A11DF">
        <w:t xml:space="preserve"> </w:t>
      </w:r>
      <w:r>
        <w:t>απεικονίζουν</w:t>
      </w:r>
      <w:r w:rsidRPr="007A11DF">
        <w:t xml:space="preserve"> </w:t>
      </w:r>
      <w:r>
        <w:t>τη</w:t>
      </w:r>
      <w:r w:rsidRPr="007A11DF">
        <w:t xml:space="preserve"> </w:t>
      </w:r>
      <w:r>
        <w:t>διάμεσο</w:t>
      </w:r>
      <w:r w:rsidRPr="007A11DF">
        <w:t xml:space="preserve"> </w:t>
      </w:r>
      <w:r>
        <w:t xml:space="preserve">με </w:t>
      </w:r>
      <w:r w:rsidR="00243CB6">
        <w:t>το εύρος στην παρένθεση</w:t>
      </w:r>
    </w:p>
    <w:p w:rsidR="00C32987" w:rsidRPr="00173578" w:rsidRDefault="00C32987" w:rsidP="00243CB6">
      <w:pPr>
        <w:spacing w:after="0" w:line="480" w:lineRule="auto"/>
        <w:jc w:val="center"/>
        <w:rPr>
          <w:rFonts w:ascii="Arial" w:hAnsi="Arial" w:cs="Arial"/>
          <w:b/>
          <w:sz w:val="24"/>
          <w:szCs w:val="24"/>
        </w:rPr>
      </w:pPr>
      <w:r w:rsidRPr="00C32987">
        <w:rPr>
          <w:rFonts w:ascii="Arial" w:hAnsi="Arial" w:cs="Arial"/>
          <w:b/>
          <w:sz w:val="24"/>
          <w:szCs w:val="24"/>
        </w:rPr>
        <w:lastRenderedPageBreak/>
        <w:t>Φαινοτυπικός χαρακτηρισμ</w:t>
      </w:r>
      <w:r w:rsidR="00173578">
        <w:rPr>
          <w:rFonts w:ascii="Arial" w:hAnsi="Arial" w:cs="Arial"/>
          <w:b/>
          <w:sz w:val="24"/>
          <w:szCs w:val="24"/>
        </w:rPr>
        <w:t xml:space="preserve">ός των κλωνικών κυττάρων της </w:t>
      </w:r>
      <w:r w:rsidR="00173578">
        <w:rPr>
          <w:rFonts w:ascii="Arial" w:hAnsi="Arial" w:cs="Arial"/>
          <w:b/>
          <w:sz w:val="24"/>
          <w:szCs w:val="24"/>
          <w:lang w:val="en-US"/>
        </w:rPr>
        <w:t>MRD</w:t>
      </w:r>
    </w:p>
    <w:p w:rsidR="00284449" w:rsidRPr="00284449" w:rsidRDefault="00C32987" w:rsidP="00243CB6">
      <w:pPr>
        <w:spacing w:after="0" w:line="360" w:lineRule="auto"/>
        <w:jc w:val="both"/>
        <w:rPr>
          <w:rFonts w:ascii="Times New Roman" w:hAnsi="Times New Roman" w:cs="Times New Roman"/>
          <w:sz w:val="24"/>
          <w:szCs w:val="24"/>
        </w:rPr>
      </w:pPr>
      <w:r w:rsidRPr="00243CB6">
        <w:rPr>
          <w:rFonts w:ascii="Times New Roman" w:hAnsi="Times New Roman" w:cs="Times New Roman"/>
          <w:sz w:val="24"/>
          <w:szCs w:val="24"/>
        </w:rPr>
        <w:t>Ο μεγάλος αριθμός δεικτών που χρησι</w:t>
      </w:r>
      <w:r w:rsidR="00E80A12">
        <w:rPr>
          <w:rFonts w:ascii="Times New Roman" w:hAnsi="Times New Roman" w:cs="Times New Roman"/>
          <w:sz w:val="24"/>
          <w:szCs w:val="24"/>
        </w:rPr>
        <w:t>μοποιήθηκαν κατά την ανάλυση μας</w:t>
      </w:r>
      <w:r w:rsidRPr="00243CB6">
        <w:rPr>
          <w:rFonts w:ascii="Times New Roman" w:hAnsi="Times New Roman" w:cs="Times New Roman"/>
          <w:sz w:val="24"/>
          <w:szCs w:val="24"/>
        </w:rPr>
        <w:t xml:space="preserve"> επέτρεψε τον λεπτομερή φαινοτυπικό χαρακτηρισμό των παθο</w:t>
      </w:r>
      <w:r w:rsidR="00E80A12">
        <w:rPr>
          <w:rFonts w:ascii="Times New Roman" w:hAnsi="Times New Roman" w:cs="Times New Roman"/>
          <w:sz w:val="24"/>
          <w:szCs w:val="24"/>
        </w:rPr>
        <w:t xml:space="preserve">λογικών πλασματοκυττάρων στα </w:t>
      </w:r>
      <w:r w:rsidR="00E80A12">
        <w:rPr>
          <w:rFonts w:ascii="Times New Roman" w:hAnsi="Times New Roman" w:cs="Times New Roman"/>
          <w:sz w:val="24"/>
          <w:szCs w:val="24"/>
          <w:lang w:val="en-US"/>
        </w:rPr>
        <w:t>MRD</w:t>
      </w:r>
      <w:r w:rsidR="00E80A12" w:rsidRPr="00E80A12">
        <w:rPr>
          <w:rFonts w:ascii="Times New Roman" w:hAnsi="Times New Roman" w:cs="Times New Roman"/>
          <w:sz w:val="24"/>
          <w:szCs w:val="24"/>
        </w:rPr>
        <w:t>+</w:t>
      </w:r>
      <w:r w:rsidR="00284449">
        <w:rPr>
          <w:rFonts w:ascii="Times New Roman" w:hAnsi="Times New Roman" w:cs="Times New Roman"/>
          <w:sz w:val="24"/>
          <w:szCs w:val="24"/>
        </w:rPr>
        <w:t xml:space="preserve"> δείγματα. Τα κλωνικά πλασματοκύτταρα παρουσίασαν μία εξαιρετικά μεγάλη ετερογένεια ως προς το φαινότυπο των κλωνικών πλασματοκυττάρων με αποτέλεσμα κάθε </w:t>
      </w:r>
      <w:r w:rsidR="00284449">
        <w:rPr>
          <w:rFonts w:ascii="Times New Roman" w:hAnsi="Times New Roman" w:cs="Times New Roman"/>
          <w:sz w:val="24"/>
          <w:szCs w:val="24"/>
          <w:lang w:val="en-US"/>
        </w:rPr>
        <w:t>MRD</w:t>
      </w:r>
      <w:r w:rsidR="00284449" w:rsidRPr="00284449">
        <w:rPr>
          <w:rFonts w:ascii="Times New Roman" w:hAnsi="Times New Roman" w:cs="Times New Roman"/>
          <w:sz w:val="24"/>
          <w:szCs w:val="24"/>
        </w:rPr>
        <w:t xml:space="preserve">+ </w:t>
      </w:r>
      <w:r w:rsidR="00284449">
        <w:rPr>
          <w:rFonts w:ascii="Times New Roman" w:hAnsi="Times New Roman" w:cs="Times New Roman"/>
          <w:sz w:val="24"/>
          <w:szCs w:val="24"/>
        </w:rPr>
        <w:t xml:space="preserve">ασθενής να εμφανίζει ένα μοναδικό εξατομικευμένο φαινοτυπικό προφίλ. Στην </w:t>
      </w:r>
      <w:r w:rsidR="00284449" w:rsidRPr="00284449">
        <w:rPr>
          <w:rFonts w:ascii="Times New Roman" w:hAnsi="Times New Roman" w:cs="Times New Roman"/>
          <w:b/>
          <w:sz w:val="24"/>
          <w:szCs w:val="24"/>
        </w:rPr>
        <w:t>Εικόνα 3Α</w:t>
      </w:r>
      <w:r w:rsidR="00284449">
        <w:rPr>
          <w:rFonts w:ascii="Times New Roman" w:hAnsi="Times New Roman" w:cs="Times New Roman"/>
          <w:sz w:val="24"/>
          <w:szCs w:val="24"/>
        </w:rPr>
        <w:t xml:space="preserve"> απεικονίζεται η φαινοτυπική ετερογένεια των 30 </w:t>
      </w:r>
      <w:r w:rsidR="00284449">
        <w:rPr>
          <w:rFonts w:ascii="Times New Roman" w:hAnsi="Times New Roman" w:cs="Times New Roman"/>
          <w:sz w:val="24"/>
          <w:szCs w:val="24"/>
          <w:lang w:val="en-US"/>
        </w:rPr>
        <w:t>MRD</w:t>
      </w:r>
      <w:r w:rsidR="00284449" w:rsidRPr="00284449">
        <w:rPr>
          <w:rFonts w:ascii="Times New Roman" w:hAnsi="Times New Roman" w:cs="Times New Roman"/>
          <w:sz w:val="24"/>
          <w:szCs w:val="24"/>
        </w:rPr>
        <w:t xml:space="preserve">+ </w:t>
      </w:r>
      <w:r w:rsidR="00284449">
        <w:rPr>
          <w:rFonts w:ascii="Times New Roman" w:hAnsi="Times New Roman" w:cs="Times New Roman"/>
          <w:sz w:val="24"/>
          <w:szCs w:val="24"/>
        </w:rPr>
        <w:t>ασθενών από την επιλεγμένη ομάδα των ασθενών σε παρατεταμένη πλήρη ύφεση.</w:t>
      </w:r>
    </w:p>
    <w:p w:rsidR="00C32987" w:rsidRPr="00C24477" w:rsidRDefault="00284449" w:rsidP="002844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Ωστόσο, παρά τη τεράστια φαινοτυπική ποικιλομορφία, διαπιστώθηκαν και ορισμένα κοινά χαρακτηριστικά μεταξύ των </w:t>
      </w:r>
      <w:r>
        <w:rPr>
          <w:rFonts w:ascii="Times New Roman" w:hAnsi="Times New Roman" w:cs="Times New Roman"/>
          <w:sz w:val="24"/>
          <w:szCs w:val="24"/>
          <w:lang w:val="en-US"/>
        </w:rPr>
        <w:t>MRD</w:t>
      </w:r>
      <w:r w:rsidRPr="00284449">
        <w:rPr>
          <w:rFonts w:ascii="Times New Roman" w:hAnsi="Times New Roman" w:cs="Times New Roman"/>
          <w:sz w:val="24"/>
          <w:szCs w:val="24"/>
        </w:rPr>
        <w:t xml:space="preserve">+ </w:t>
      </w:r>
      <w:r>
        <w:rPr>
          <w:rFonts w:ascii="Times New Roman" w:hAnsi="Times New Roman" w:cs="Times New Roman"/>
          <w:sz w:val="24"/>
          <w:szCs w:val="24"/>
        </w:rPr>
        <w:t xml:space="preserve">περιπτώσεων σχετικά με τα επίπεδα έκφρασης ορισμένων δεικτών. Πιο συγκεκριμένα, </w:t>
      </w:r>
      <w:r w:rsidR="00E80A12">
        <w:rPr>
          <w:rFonts w:ascii="Times New Roman" w:hAnsi="Times New Roman" w:cs="Times New Roman"/>
          <w:sz w:val="24"/>
          <w:szCs w:val="24"/>
        </w:rPr>
        <w:t xml:space="preserve">σε όλες τις </w:t>
      </w:r>
      <w:r w:rsidR="00E80A12">
        <w:rPr>
          <w:rFonts w:ascii="Times New Roman" w:hAnsi="Times New Roman" w:cs="Times New Roman"/>
          <w:sz w:val="24"/>
          <w:szCs w:val="24"/>
          <w:lang w:val="en-US"/>
        </w:rPr>
        <w:t>MRD</w:t>
      </w:r>
      <w:r w:rsidR="00E80A12" w:rsidRPr="00E80A12">
        <w:rPr>
          <w:rFonts w:ascii="Times New Roman" w:hAnsi="Times New Roman" w:cs="Times New Roman"/>
          <w:sz w:val="24"/>
          <w:szCs w:val="24"/>
        </w:rPr>
        <w:t>+</w:t>
      </w:r>
      <w:r w:rsidR="00C32987" w:rsidRPr="00243CB6">
        <w:rPr>
          <w:rFonts w:ascii="Times New Roman" w:hAnsi="Times New Roman" w:cs="Times New Roman"/>
          <w:sz w:val="24"/>
          <w:szCs w:val="24"/>
        </w:rPr>
        <w:t xml:space="preserve"> περιπτώσεις, τα κλωνικά κύτταρα ήταν αρνητικά για το δείκτη </w:t>
      </w:r>
      <w:r w:rsidR="00C32987" w:rsidRPr="00243CB6">
        <w:rPr>
          <w:rFonts w:ascii="Times New Roman" w:hAnsi="Times New Roman" w:cs="Times New Roman"/>
          <w:sz w:val="24"/>
          <w:szCs w:val="24"/>
          <w:lang w:val="en-US"/>
        </w:rPr>
        <w:t>CD</w:t>
      </w:r>
      <w:r w:rsidR="00C32987" w:rsidRPr="00243CB6">
        <w:rPr>
          <w:rFonts w:ascii="Times New Roman" w:hAnsi="Times New Roman" w:cs="Times New Roman"/>
          <w:sz w:val="24"/>
          <w:szCs w:val="24"/>
        </w:rPr>
        <w:t xml:space="preserve">19 και είχαν ασθενή έκφραση ή ήταν </w:t>
      </w:r>
      <w:r>
        <w:rPr>
          <w:rFonts w:ascii="Times New Roman" w:hAnsi="Times New Roman" w:cs="Times New Roman"/>
          <w:sz w:val="24"/>
          <w:szCs w:val="24"/>
        </w:rPr>
        <w:t>αρνητικά ως προς την έκφραση της πρωτεΐνης</w:t>
      </w:r>
      <w:r w:rsidR="00C32987" w:rsidRPr="00243CB6">
        <w:rPr>
          <w:rFonts w:ascii="Times New Roman" w:hAnsi="Times New Roman" w:cs="Times New Roman"/>
          <w:sz w:val="24"/>
          <w:szCs w:val="24"/>
        </w:rPr>
        <w:t xml:space="preserve"> </w:t>
      </w:r>
      <w:r w:rsidR="00C32987" w:rsidRPr="00243CB6">
        <w:rPr>
          <w:rFonts w:ascii="Times New Roman" w:hAnsi="Times New Roman" w:cs="Times New Roman"/>
          <w:sz w:val="24"/>
          <w:szCs w:val="24"/>
          <w:lang w:val="en-US"/>
        </w:rPr>
        <w:t>CD</w:t>
      </w:r>
      <w:r w:rsidR="00C32987" w:rsidRPr="00243CB6">
        <w:rPr>
          <w:rFonts w:ascii="Times New Roman" w:hAnsi="Times New Roman" w:cs="Times New Roman"/>
          <w:sz w:val="24"/>
          <w:szCs w:val="24"/>
        </w:rPr>
        <w:t>45,</w:t>
      </w:r>
      <w:r>
        <w:rPr>
          <w:rFonts w:ascii="Times New Roman" w:hAnsi="Times New Roman" w:cs="Times New Roman"/>
          <w:sz w:val="24"/>
          <w:szCs w:val="24"/>
        </w:rPr>
        <w:t xml:space="preserve"> που φυσιολογικά εκφράζεται σε </w:t>
      </w:r>
      <w:r w:rsidR="00C15AA1">
        <w:rPr>
          <w:rFonts w:ascii="Times New Roman" w:hAnsi="Times New Roman" w:cs="Times New Roman"/>
          <w:sz w:val="24"/>
          <w:szCs w:val="24"/>
        </w:rPr>
        <w:t xml:space="preserve">όλα τα διαφοροποιημένα λευκοκύτταρα (εκτός ενός πολύ μικρού ποσοστού φυσιολογικών πλασματοκυττάρων). Επομένως, στην προσπάθεια διάκρισης των παθολογικών (εάν φυσικά υπάρχουν) από τα φυσιολογικά  πλασματοκύτταρα του κάθε δείγματος, οι δείκτες </w:t>
      </w:r>
      <w:r w:rsidR="00C15AA1">
        <w:rPr>
          <w:rFonts w:ascii="Times New Roman" w:hAnsi="Times New Roman" w:cs="Times New Roman"/>
          <w:sz w:val="24"/>
          <w:szCs w:val="24"/>
          <w:lang w:val="en-US"/>
        </w:rPr>
        <w:t>CD</w:t>
      </w:r>
      <w:r w:rsidR="00C15AA1" w:rsidRPr="00C15AA1">
        <w:rPr>
          <w:rFonts w:ascii="Times New Roman" w:hAnsi="Times New Roman" w:cs="Times New Roman"/>
          <w:sz w:val="24"/>
          <w:szCs w:val="24"/>
        </w:rPr>
        <w:t xml:space="preserve">19 </w:t>
      </w:r>
      <w:r w:rsidR="00C15AA1">
        <w:rPr>
          <w:rFonts w:ascii="Times New Roman" w:hAnsi="Times New Roman" w:cs="Times New Roman"/>
          <w:sz w:val="24"/>
          <w:szCs w:val="24"/>
        </w:rPr>
        <w:t xml:space="preserve">και </w:t>
      </w:r>
      <w:r w:rsidR="00C15AA1">
        <w:rPr>
          <w:rFonts w:ascii="Times New Roman" w:hAnsi="Times New Roman" w:cs="Times New Roman"/>
          <w:sz w:val="24"/>
          <w:szCs w:val="24"/>
          <w:lang w:val="en-US"/>
        </w:rPr>
        <w:t>CD</w:t>
      </w:r>
      <w:r w:rsidR="00C15AA1" w:rsidRPr="00C15AA1">
        <w:rPr>
          <w:rFonts w:ascii="Times New Roman" w:hAnsi="Times New Roman" w:cs="Times New Roman"/>
          <w:sz w:val="24"/>
          <w:szCs w:val="24"/>
        </w:rPr>
        <w:t xml:space="preserve">45 </w:t>
      </w:r>
      <w:r w:rsidR="00C15AA1">
        <w:rPr>
          <w:rFonts w:ascii="Times New Roman" w:hAnsi="Times New Roman" w:cs="Times New Roman"/>
          <w:sz w:val="24"/>
          <w:szCs w:val="24"/>
        </w:rPr>
        <w:t xml:space="preserve">είναι οι </w:t>
      </w:r>
      <w:r w:rsidR="00C32987" w:rsidRPr="00243CB6">
        <w:rPr>
          <w:rFonts w:ascii="Times New Roman" w:hAnsi="Times New Roman" w:cs="Times New Roman"/>
          <w:sz w:val="24"/>
          <w:szCs w:val="24"/>
        </w:rPr>
        <w:t xml:space="preserve"> </w:t>
      </w:r>
      <w:r w:rsidR="00C15AA1">
        <w:rPr>
          <w:rFonts w:ascii="Times New Roman" w:hAnsi="Times New Roman" w:cs="Times New Roman"/>
          <w:sz w:val="24"/>
          <w:szCs w:val="24"/>
        </w:rPr>
        <w:t xml:space="preserve">πιο βοηθητικοί και θα έπρεπε να αξιολογούνται πρώτοι. </w:t>
      </w:r>
      <w:r w:rsidR="00C32987" w:rsidRPr="00243CB6">
        <w:rPr>
          <w:rFonts w:ascii="Times New Roman" w:hAnsi="Times New Roman" w:cs="Times New Roman"/>
          <w:sz w:val="24"/>
          <w:szCs w:val="24"/>
        </w:rPr>
        <w:t>Τρίτος κατά σειρά σημ</w:t>
      </w:r>
      <w:r w:rsidR="00C15AA1">
        <w:rPr>
          <w:rFonts w:ascii="Times New Roman" w:hAnsi="Times New Roman" w:cs="Times New Roman"/>
          <w:sz w:val="24"/>
          <w:szCs w:val="24"/>
        </w:rPr>
        <w:t xml:space="preserve">αντικότητας δείκτης αποδείχθηκε </w:t>
      </w:r>
      <w:r w:rsidR="00C32987" w:rsidRPr="00243CB6">
        <w:rPr>
          <w:rFonts w:ascii="Times New Roman" w:hAnsi="Times New Roman" w:cs="Times New Roman"/>
          <w:sz w:val="24"/>
          <w:szCs w:val="24"/>
        </w:rPr>
        <w:t xml:space="preserve">το μόριο </w:t>
      </w:r>
      <w:r w:rsidR="00C32987" w:rsidRPr="00243CB6">
        <w:rPr>
          <w:rFonts w:ascii="Times New Roman" w:hAnsi="Times New Roman" w:cs="Times New Roman"/>
          <w:sz w:val="24"/>
          <w:szCs w:val="24"/>
          <w:lang w:val="en-US"/>
        </w:rPr>
        <w:t>CD</w:t>
      </w:r>
      <w:r w:rsidR="00C32987" w:rsidRPr="00243CB6">
        <w:rPr>
          <w:rFonts w:ascii="Times New Roman" w:hAnsi="Times New Roman" w:cs="Times New Roman"/>
          <w:sz w:val="24"/>
          <w:szCs w:val="24"/>
        </w:rPr>
        <w:t>56,</w:t>
      </w:r>
      <w:r w:rsidR="00C15AA1">
        <w:rPr>
          <w:rFonts w:ascii="Times New Roman" w:hAnsi="Times New Roman" w:cs="Times New Roman"/>
          <w:sz w:val="24"/>
          <w:szCs w:val="24"/>
        </w:rPr>
        <w:t xml:space="preserve"> η θετικότητα του οποίου μπορούσε να διακρίνει τα παθολογικά από τα φυσιολογικά πλασματοκύτταρα στην πλειοψηφία των </w:t>
      </w:r>
      <w:r w:rsidR="00C15AA1">
        <w:rPr>
          <w:rFonts w:ascii="Times New Roman" w:hAnsi="Times New Roman" w:cs="Times New Roman"/>
          <w:sz w:val="24"/>
          <w:szCs w:val="24"/>
          <w:lang w:val="en-US"/>
        </w:rPr>
        <w:t>MRD</w:t>
      </w:r>
      <w:r w:rsidR="00C15AA1" w:rsidRPr="00C15AA1">
        <w:rPr>
          <w:rFonts w:ascii="Times New Roman" w:hAnsi="Times New Roman" w:cs="Times New Roman"/>
          <w:sz w:val="24"/>
          <w:szCs w:val="24"/>
        </w:rPr>
        <w:t xml:space="preserve">+ </w:t>
      </w:r>
      <w:r w:rsidR="00C15AA1">
        <w:rPr>
          <w:rFonts w:ascii="Times New Roman" w:hAnsi="Times New Roman" w:cs="Times New Roman"/>
          <w:sz w:val="24"/>
          <w:szCs w:val="24"/>
        </w:rPr>
        <w:t>δειγμάτων. Τέλος,</w:t>
      </w:r>
      <w:r w:rsidR="00C32987" w:rsidRPr="00243CB6">
        <w:rPr>
          <w:rFonts w:ascii="Times New Roman" w:hAnsi="Times New Roman" w:cs="Times New Roman"/>
          <w:sz w:val="24"/>
          <w:szCs w:val="24"/>
        </w:rPr>
        <w:t xml:space="preserve"> σημαντική ήταν και η συνεισφορά του δείκτη </w:t>
      </w:r>
      <w:r w:rsidR="00C32987" w:rsidRPr="00243CB6">
        <w:rPr>
          <w:rFonts w:ascii="Times New Roman" w:hAnsi="Times New Roman" w:cs="Times New Roman"/>
          <w:sz w:val="24"/>
          <w:szCs w:val="24"/>
          <w:lang w:val="en-US"/>
        </w:rPr>
        <w:t>CD</w:t>
      </w:r>
      <w:r w:rsidR="00C15AA1">
        <w:rPr>
          <w:rFonts w:ascii="Times New Roman" w:hAnsi="Times New Roman" w:cs="Times New Roman"/>
          <w:sz w:val="24"/>
          <w:szCs w:val="24"/>
        </w:rPr>
        <w:t xml:space="preserve">27, </w:t>
      </w:r>
      <w:r w:rsidR="00C32987" w:rsidRPr="00243CB6">
        <w:rPr>
          <w:rFonts w:ascii="Times New Roman" w:hAnsi="Times New Roman" w:cs="Times New Roman"/>
          <w:sz w:val="24"/>
          <w:szCs w:val="24"/>
        </w:rPr>
        <w:t xml:space="preserve">ειδικά σε περιπτώσεις με </w:t>
      </w:r>
      <w:r w:rsidR="00C15AA1">
        <w:rPr>
          <w:rFonts w:ascii="Times New Roman" w:hAnsi="Times New Roman" w:cs="Times New Roman"/>
          <w:sz w:val="24"/>
          <w:szCs w:val="24"/>
        </w:rPr>
        <w:t xml:space="preserve">εξαιρετικά </w:t>
      </w:r>
      <w:r w:rsidR="00C32987" w:rsidRPr="00243CB6">
        <w:rPr>
          <w:rFonts w:ascii="Times New Roman" w:hAnsi="Times New Roman" w:cs="Times New Roman"/>
          <w:sz w:val="24"/>
          <w:szCs w:val="24"/>
        </w:rPr>
        <w:t>χαμηλό φορτίο</w:t>
      </w:r>
      <w:r w:rsidR="00C15AA1">
        <w:rPr>
          <w:rFonts w:ascii="Times New Roman" w:hAnsi="Times New Roman" w:cs="Times New Roman"/>
          <w:sz w:val="24"/>
          <w:szCs w:val="24"/>
        </w:rPr>
        <w:t xml:space="preserve"> της </w:t>
      </w:r>
      <w:r w:rsidR="00C32987" w:rsidRPr="00243CB6">
        <w:rPr>
          <w:rFonts w:ascii="Times New Roman" w:hAnsi="Times New Roman" w:cs="Times New Roman"/>
          <w:sz w:val="24"/>
          <w:szCs w:val="24"/>
        </w:rPr>
        <w:t xml:space="preserve">νόσου </w:t>
      </w:r>
      <w:r w:rsidR="00C32987" w:rsidRPr="00243CB6">
        <w:rPr>
          <w:rFonts w:ascii="Times New Roman" w:hAnsi="Times New Roman" w:cs="Times New Roman"/>
          <w:b/>
          <w:sz w:val="24"/>
          <w:szCs w:val="24"/>
        </w:rPr>
        <w:t>(Εικόνα 3Β)</w:t>
      </w:r>
      <w:r w:rsidR="00C15AA1">
        <w:rPr>
          <w:rFonts w:ascii="Times New Roman" w:hAnsi="Times New Roman" w:cs="Times New Roman"/>
          <w:sz w:val="24"/>
          <w:szCs w:val="24"/>
        </w:rPr>
        <w:t>, καθότι η</w:t>
      </w:r>
      <w:r w:rsidR="00C32987" w:rsidRPr="00243CB6">
        <w:rPr>
          <w:rFonts w:ascii="Times New Roman" w:hAnsi="Times New Roman" w:cs="Times New Roman"/>
          <w:sz w:val="24"/>
          <w:szCs w:val="24"/>
        </w:rPr>
        <w:t xml:space="preserve"> πλειονότητα των </w:t>
      </w:r>
      <w:r w:rsidR="00C15AA1">
        <w:rPr>
          <w:rFonts w:ascii="Times New Roman" w:hAnsi="Times New Roman" w:cs="Times New Roman"/>
          <w:sz w:val="24"/>
          <w:szCs w:val="24"/>
          <w:lang w:val="en-US"/>
        </w:rPr>
        <w:t>MRD</w:t>
      </w:r>
      <w:r w:rsidR="00C15AA1" w:rsidRPr="00C15AA1">
        <w:rPr>
          <w:rFonts w:ascii="Times New Roman" w:hAnsi="Times New Roman" w:cs="Times New Roman"/>
          <w:sz w:val="24"/>
          <w:szCs w:val="24"/>
        </w:rPr>
        <w:t>+</w:t>
      </w:r>
      <w:r w:rsidR="00C32987" w:rsidRPr="00243CB6">
        <w:rPr>
          <w:rFonts w:ascii="Times New Roman" w:hAnsi="Times New Roman" w:cs="Times New Roman"/>
          <w:sz w:val="24"/>
          <w:szCs w:val="24"/>
          <w:vertAlign w:val="superscript"/>
        </w:rPr>
        <w:t xml:space="preserve"> </w:t>
      </w:r>
      <w:r w:rsidR="00C32987" w:rsidRPr="00243CB6">
        <w:rPr>
          <w:rFonts w:ascii="Times New Roman" w:hAnsi="Times New Roman" w:cs="Times New Roman"/>
          <w:sz w:val="24"/>
          <w:szCs w:val="24"/>
        </w:rPr>
        <w:t>περιπτώσεων (2</w:t>
      </w:r>
      <w:r w:rsidR="00C15AA1">
        <w:rPr>
          <w:rFonts w:ascii="Times New Roman" w:hAnsi="Times New Roman" w:cs="Times New Roman"/>
          <w:sz w:val="24"/>
          <w:szCs w:val="24"/>
        </w:rPr>
        <w:t>5/30, 83%) εμφάνισε</w:t>
      </w:r>
      <w:r w:rsidR="00C32987" w:rsidRPr="00243CB6">
        <w:rPr>
          <w:rFonts w:ascii="Times New Roman" w:hAnsi="Times New Roman" w:cs="Times New Roman"/>
          <w:sz w:val="24"/>
          <w:szCs w:val="24"/>
        </w:rPr>
        <w:t xml:space="preserve"> </w:t>
      </w:r>
      <w:r w:rsidR="00C15AA1">
        <w:rPr>
          <w:rFonts w:ascii="Times New Roman" w:hAnsi="Times New Roman" w:cs="Times New Roman"/>
          <w:sz w:val="24"/>
          <w:szCs w:val="24"/>
        </w:rPr>
        <w:t xml:space="preserve">χαμηλότερα επίπεδα </w:t>
      </w:r>
      <w:r w:rsidR="00C32987" w:rsidRPr="00243CB6">
        <w:rPr>
          <w:rFonts w:ascii="Times New Roman" w:hAnsi="Times New Roman" w:cs="Times New Roman"/>
          <w:sz w:val="24"/>
          <w:szCs w:val="24"/>
        </w:rPr>
        <w:t>έκφραση</w:t>
      </w:r>
      <w:r w:rsidR="00C15AA1">
        <w:rPr>
          <w:rFonts w:ascii="Times New Roman" w:hAnsi="Times New Roman" w:cs="Times New Roman"/>
          <w:sz w:val="24"/>
          <w:szCs w:val="24"/>
        </w:rPr>
        <w:t>ς</w:t>
      </w:r>
      <w:r w:rsidR="00C32987" w:rsidRPr="00243CB6">
        <w:rPr>
          <w:rFonts w:ascii="Times New Roman" w:hAnsi="Times New Roman" w:cs="Times New Roman"/>
          <w:sz w:val="24"/>
          <w:szCs w:val="24"/>
        </w:rPr>
        <w:t xml:space="preserve"> του </w:t>
      </w:r>
      <w:r w:rsidR="00C32987" w:rsidRPr="00243CB6">
        <w:rPr>
          <w:rFonts w:ascii="Times New Roman" w:hAnsi="Times New Roman" w:cs="Times New Roman"/>
          <w:sz w:val="24"/>
          <w:szCs w:val="24"/>
          <w:lang w:val="en-US"/>
        </w:rPr>
        <w:t>CD</w:t>
      </w:r>
      <w:r w:rsidR="00C32987" w:rsidRPr="00243CB6">
        <w:rPr>
          <w:rFonts w:ascii="Times New Roman" w:hAnsi="Times New Roman" w:cs="Times New Roman"/>
          <w:sz w:val="24"/>
          <w:szCs w:val="24"/>
        </w:rPr>
        <w:t xml:space="preserve">27 </w:t>
      </w:r>
      <w:r w:rsidR="00C15AA1">
        <w:rPr>
          <w:rFonts w:ascii="Times New Roman" w:hAnsi="Times New Roman" w:cs="Times New Roman"/>
          <w:sz w:val="24"/>
          <w:szCs w:val="24"/>
        </w:rPr>
        <w:t>στον κλωνικό πληθυσμό σε σχέση</w:t>
      </w:r>
      <w:r w:rsidR="00C24477">
        <w:rPr>
          <w:rFonts w:ascii="Times New Roman" w:hAnsi="Times New Roman" w:cs="Times New Roman"/>
          <w:sz w:val="24"/>
          <w:szCs w:val="24"/>
        </w:rPr>
        <w:t xml:space="preserve"> με την αντίστοιχη έκφραση που εμφάνισαν τα φυσιολογικά πλασματοκύτταρα του μυελού.</w:t>
      </w:r>
      <w:r w:rsidR="00C15AA1">
        <w:rPr>
          <w:rFonts w:ascii="Times New Roman" w:hAnsi="Times New Roman" w:cs="Times New Roman"/>
          <w:sz w:val="24"/>
          <w:szCs w:val="24"/>
        </w:rPr>
        <w:t xml:space="preserve">  </w:t>
      </w:r>
      <w:r w:rsidR="00C24477">
        <w:rPr>
          <w:rFonts w:ascii="Times New Roman" w:hAnsi="Times New Roman" w:cs="Times New Roman"/>
          <w:sz w:val="24"/>
          <w:szCs w:val="24"/>
        </w:rPr>
        <w:t xml:space="preserve">Τα σχετικά ποσοστά </w:t>
      </w:r>
      <w:r w:rsidR="00C32987" w:rsidRPr="00243CB6">
        <w:rPr>
          <w:rFonts w:ascii="Times New Roman" w:hAnsi="Times New Roman" w:cs="Times New Roman"/>
          <w:sz w:val="24"/>
          <w:szCs w:val="24"/>
        </w:rPr>
        <w:t xml:space="preserve"> σημαντικότητα</w:t>
      </w:r>
      <w:r w:rsidR="00C24477">
        <w:rPr>
          <w:rFonts w:ascii="Times New Roman" w:hAnsi="Times New Roman" w:cs="Times New Roman"/>
          <w:sz w:val="24"/>
          <w:szCs w:val="24"/>
        </w:rPr>
        <w:t>ς</w:t>
      </w:r>
      <w:r w:rsidR="00C32987" w:rsidRPr="00243CB6">
        <w:rPr>
          <w:rFonts w:ascii="Times New Roman" w:hAnsi="Times New Roman" w:cs="Times New Roman"/>
          <w:sz w:val="24"/>
          <w:szCs w:val="24"/>
        </w:rPr>
        <w:t xml:space="preserve"> </w:t>
      </w:r>
      <w:r w:rsidR="00C24477" w:rsidRPr="00243CB6">
        <w:rPr>
          <w:rFonts w:ascii="Times New Roman" w:hAnsi="Times New Roman" w:cs="Times New Roman"/>
          <w:sz w:val="24"/>
          <w:szCs w:val="24"/>
        </w:rPr>
        <w:t>(%)</w:t>
      </w:r>
      <w:r w:rsidR="00C24477">
        <w:rPr>
          <w:rFonts w:ascii="Times New Roman" w:hAnsi="Times New Roman" w:cs="Times New Roman"/>
          <w:sz w:val="24"/>
          <w:szCs w:val="24"/>
        </w:rPr>
        <w:t xml:space="preserve"> </w:t>
      </w:r>
      <w:r w:rsidR="00C32987" w:rsidRPr="00243CB6">
        <w:rPr>
          <w:rFonts w:ascii="Times New Roman" w:hAnsi="Times New Roman" w:cs="Times New Roman"/>
          <w:sz w:val="24"/>
          <w:szCs w:val="24"/>
        </w:rPr>
        <w:t xml:space="preserve">του κάθε </w:t>
      </w:r>
      <w:r w:rsidR="00C24477">
        <w:rPr>
          <w:rFonts w:ascii="Times New Roman" w:hAnsi="Times New Roman" w:cs="Times New Roman"/>
          <w:sz w:val="24"/>
          <w:szCs w:val="24"/>
        </w:rPr>
        <w:t xml:space="preserve">πρωτεϊνικού </w:t>
      </w:r>
      <w:r w:rsidR="00C32987" w:rsidRPr="00243CB6">
        <w:rPr>
          <w:rFonts w:ascii="Times New Roman" w:hAnsi="Times New Roman" w:cs="Times New Roman"/>
          <w:sz w:val="24"/>
          <w:szCs w:val="24"/>
        </w:rPr>
        <w:t xml:space="preserve">δείκτη κατά τη </w:t>
      </w:r>
      <w:r w:rsidR="00C24477">
        <w:rPr>
          <w:rFonts w:ascii="Times New Roman" w:hAnsi="Times New Roman" w:cs="Times New Roman"/>
          <w:sz w:val="24"/>
          <w:szCs w:val="24"/>
        </w:rPr>
        <w:t xml:space="preserve">προσπάθεια </w:t>
      </w:r>
      <w:r w:rsidR="00C32987" w:rsidRPr="00243CB6">
        <w:rPr>
          <w:rFonts w:ascii="Times New Roman" w:hAnsi="Times New Roman" w:cs="Times New Roman"/>
          <w:sz w:val="24"/>
          <w:szCs w:val="24"/>
        </w:rPr>
        <w:t>διάκριση</w:t>
      </w:r>
      <w:r w:rsidR="00C24477">
        <w:rPr>
          <w:rFonts w:ascii="Times New Roman" w:hAnsi="Times New Roman" w:cs="Times New Roman"/>
          <w:sz w:val="24"/>
          <w:szCs w:val="24"/>
        </w:rPr>
        <w:t>ς</w:t>
      </w:r>
      <w:r w:rsidR="00C32987" w:rsidRPr="00243CB6">
        <w:rPr>
          <w:rFonts w:ascii="Times New Roman" w:hAnsi="Times New Roman" w:cs="Times New Roman"/>
          <w:sz w:val="24"/>
          <w:szCs w:val="24"/>
        </w:rPr>
        <w:t xml:space="preserve"> των κλωνικών </w:t>
      </w:r>
      <w:r w:rsidR="00C24477">
        <w:rPr>
          <w:rFonts w:ascii="Times New Roman" w:hAnsi="Times New Roman" w:cs="Times New Roman"/>
          <w:sz w:val="24"/>
          <w:szCs w:val="24"/>
        </w:rPr>
        <w:t>πλασματο</w:t>
      </w:r>
      <w:r w:rsidR="00C32987" w:rsidRPr="00243CB6">
        <w:rPr>
          <w:rFonts w:ascii="Times New Roman" w:hAnsi="Times New Roman" w:cs="Times New Roman"/>
          <w:sz w:val="24"/>
          <w:szCs w:val="24"/>
        </w:rPr>
        <w:t>κυττάρων</w:t>
      </w:r>
      <w:r w:rsidR="00C24477">
        <w:rPr>
          <w:rFonts w:ascii="Times New Roman" w:hAnsi="Times New Roman" w:cs="Times New Roman"/>
          <w:sz w:val="24"/>
          <w:szCs w:val="24"/>
        </w:rPr>
        <w:t xml:space="preserve"> σε κάθε </w:t>
      </w:r>
      <w:r w:rsidR="00C24477">
        <w:rPr>
          <w:rFonts w:ascii="Times New Roman" w:hAnsi="Times New Roman" w:cs="Times New Roman"/>
          <w:sz w:val="24"/>
          <w:szCs w:val="24"/>
          <w:lang w:val="en-US"/>
        </w:rPr>
        <w:t>MRD</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rPr>
        <w:t>δείγμα</w:t>
      </w:r>
      <w:r w:rsidR="00C32987" w:rsidRPr="00243CB6">
        <w:rPr>
          <w:rFonts w:ascii="Times New Roman" w:hAnsi="Times New Roman" w:cs="Times New Roman"/>
          <w:sz w:val="24"/>
          <w:szCs w:val="24"/>
        </w:rPr>
        <w:t>,</w:t>
      </w:r>
      <w:r w:rsidR="00C24477">
        <w:rPr>
          <w:rFonts w:ascii="Times New Roman" w:hAnsi="Times New Roman" w:cs="Times New Roman"/>
          <w:sz w:val="24"/>
          <w:szCs w:val="24"/>
        </w:rPr>
        <w:t xml:space="preserve"> υπολογίστηκε με τη χρήση του εργαλείου </w:t>
      </w:r>
      <w:r w:rsidR="00C24477">
        <w:rPr>
          <w:rFonts w:ascii="Times New Roman" w:hAnsi="Times New Roman" w:cs="Times New Roman"/>
          <w:sz w:val="24"/>
          <w:szCs w:val="24"/>
          <w:lang w:val="en-US"/>
        </w:rPr>
        <w:t>PCA</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lang w:val="en-US"/>
        </w:rPr>
        <w:t>Principal</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lang w:val="en-US"/>
        </w:rPr>
        <w:t>Component</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lang w:val="en-US"/>
        </w:rPr>
        <w:t>Analysis</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rPr>
        <w:t xml:space="preserve">του διαγράμματος </w:t>
      </w:r>
      <w:r w:rsidR="00C24477">
        <w:rPr>
          <w:rFonts w:ascii="Times New Roman" w:hAnsi="Times New Roman" w:cs="Times New Roman"/>
          <w:sz w:val="24"/>
          <w:szCs w:val="24"/>
          <w:lang w:val="en-US"/>
        </w:rPr>
        <w:t>APS</w:t>
      </w:r>
      <w:r w:rsidR="00C24477" w:rsidRPr="00C24477">
        <w:rPr>
          <w:rFonts w:ascii="Times New Roman" w:hAnsi="Times New Roman" w:cs="Times New Roman"/>
          <w:sz w:val="24"/>
          <w:szCs w:val="24"/>
        </w:rPr>
        <w:t xml:space="preserve"> </w:t>
      </w:r>
      <w:r w:rsidR="00C24477">
        <w:rPr>
          <w:rFonts w:ascii="Times New Roman" w:hAnsi="Times New Roman" w:cs="Times New Roman"/>
          <w:sz w:val="24"/>
          <w:szCs w:val="24"/>
        </w:rPr>
        <w:t>(</w:t>
      </w:r>
      <w:r w:rsidR="00AE64A2">
        <w:rPr>
          <w:rFonts w:ascii="Times New Roman" w:hAnsi="Times New Roman" w:cs="Times New Roman"/>
          <w:sz w:val="24"/>
          <w:szCs w:val="24"/>
          <w:lang w:val="en-US"/>
        </w:rPr>
        <w:t>Automatic</w:t>
      </w:r>
      <w:r w:rsidR="00AE64A2" w:rsidRPr="00AE64A2">
        <w:rPr>
          <w:rFonts w:ascii="Times New Roman" w:hAnsi="Times New Roman" w:cs="Times New Roman"/>
          <w:sz w:val="24"/>
          <w:szCs w:val="24"/>
        </w:rPr>
        <w:t xml:space="preserve"> </w:t>
      </w:r>
      <w:r w:rsidR="00AE64A2">
        <w:rPr>
          <w:rFonts w:ascii="Times New Roman" w:hAnsi="Times New Roman" w:cs="Times New Roman"/>
          <w:sz w:val="24"/>
          <w:szCs w:val="24"/>
          <w:lang w:val="en-US"/>
        </w:rPr>
        <w:t>Population</w:t>
      </w:r>
      <w:r w:rsidR="00AE64A2" w:rsidRPr="00AE64A2">
        <w:rPr>
          <w:rFonts w:ascii="Times New Roman" w:hAnsi="Times New Roman" w:cs="Times New Roman"/>
          <w:sz w:val="24"/>
          <w:szCs w:val="24"/>
        </w:rPr>
        <w:t xml:space="preserve"> </w:t>
      </w:r>
      <w:r w:rsidR="00AE64A2">
        <w:rPr>
          <w:rFonts w:ascii="Times New Roman" w:hAnsi="Times New Roman" w:cs="Times New Roman"/>
          <w:sz w:val="24"/>
          <w:szCs w:val="24"/>
          <w:lang w:val="en-US"/>
        </w:rPr>
        <w:t>Separator</w:t>
      </w:r>
      <w:r w:rsidR="00AE64A2" w:rsidRPr="00AE64A2">
        <w:rPr>
          <w:rFonts w:ascii="Times New Roman" w:hAnsi="Times New Roman" w:cs="Times New Roman"/>
          <w:sz w:val="24"/>
          <w:szCs w:val="24"/>
        </w:rPr>
        <w:t xml:space="preserve">) </w:t>
      </w:r>
      <w:r w:rsidR="00AE64A2">
        <w:rPr>
          <w:rFonts w:ascii="Times New Roman" w:hAnsi="Times New Roman" w:cs="Times New Roman"/>
          <w:sz w:val="24"/>
          <w:szCs w:val="24"/>
        </w:rPr>
        <w:t xml:space="preserve">του λογισμικού </w:t>
      </w:r>
      <w:r w:rsidR="00C32987" w:rsidRPr="00243CB6">
        <w:rPr>
          <w:rFonts w:ascii="Times New Roman" w:hAnsi="Times New Roman" w:cs="Times New Roman"/>
          <w:sz w:val="24"/>
          <w:szCs w:val="24"/>
          <w:lang w:val="en-US"/>
        </w:rPr>
        <w:t>Infinicyt</w:t>
      </w:r>
      <w:r w:rsidR="00AE64A2">
        <w:rPr>
          <w:rFonts w:ascii="Times New Roman" w:hAnsi="Times New Roman" w:cs="Times New Roman"/>
          <w:sz w:val="24"/>
          <w:szCs w:val="24"/>
        </w:rPr>
        <w:t xml:space="preserve"> και </w:t>
      </w:r>
      <w:r w:rsidR="00C32987" w:rsidRPr="00243CB6">
        <w:rPr>
          <w:rFonts w:ascii="Times New Roman" w:hAnsi="Times New Roman" w:cs="Times New Roman"/>
          <w:sz w:val="24"/>
          <w:szCs w:val="24"/>
        </w:rPr>
        <w:t xml:space="preserve">απεικονίζεται στην </w:t>
      </w:r>
      <w:r w:rsidR="00C32987" w:rsidRPr="00243CB6">
        <w:rPr>
          <w:rFonts w:ascii="Times New Roman" w:hAnsi="Times New Roman" w:cs="Times New Roman"/>
          <w:b/>
          <w:sz w:val="24"/>
          <w:szCs w:val="24"/>
        </w:rPr>
        <w:t>Εικόνα 3Γ</w:t>
      </w:r>
      <w:r w:rsidR="00AE64A2">
        <w:rPr>
          <w:rFonts w:ascii="Times New Roman" w:hAnsi="Times New Roman" w:cs="Times New Roman"/>
          <w:sz w:val="24"/>
          <w:szCs w:val="24"/>
        </w:rPr>
        <w:t xml:space="preserve"> για το σύνολο των </w:t>
      </w:r>
      <w:r w:rsidR="00AE64A2">
        <w:rPr>
          <w:rFonts w:ascii="Times New Roman" w:hAnsi="Times New Roman" w:cs="Times New Roman"/>
          <w:sz w:val="24"/>
          <w:szCs w:val="24"/>
          <w:lang w:val="en-US"/>
        </w:rPr>
        <w:t>MRD</w:t>
      </w:r>
      <w:r w:rsidR="00AE64A2" w:rsidRPr="00243CB6">
        <w:rPr>
          <w:rFonts w:ascii="Times New Roman" w:hAnsi="Times New Roman" w:cs="Times New Roman"/>
          <w:sz w:val="24"/>
          <w:szCs w:val="24"/>
        </w:rPr>
        <w:t>+ περιπτώσεων</w:t>
      </w:r>
      <w:r w:rsidR="00AE64A2">
        <w:rPr>
          <w:rFonts w:ascii="Times New Roman" w:hAnsi="Times New Roman" w:cs="Times New Roman"/>
          <w:sz w:val="24"/>
          <w:szCs w:val="24"/>
        </w:rPr>
        <w:t>.</w:t>
      </w:r>
    </w:p>
    <w:p w:rsidR="00E80A12" w:rsidRPr="00C24477" w:rsidRDefault="00E80A12" w:rsidP="00243CB6">
      <w:pPr>
        <w:spacing w:after="0" w:line="360" w:lineRule="auto"/>
        <w:jc w:val="both"/>
        <w:rPr>
          <w:rFonts w:ascii="Times New Roman" w:hAnsi="Times New Roman" w:cs="Times New Roman"/>
          <w:sz w:val="24"/>
          <w:szCs w:val="24"/>
        </w:rPr>
      </w:pPr>
    </w:p>
    <w:p w:rsidR="00E80A12" w:rsidRPr="00C24477" w:rsidRDefault="00E80A12" w:rsidP="00243CB6">
      <w:pPr>
        <w:spacing w:after="0" w:line="360" w:lineRule="auto"/>
        <w:jc w:val="both"/>
        <w:rPr>
          <w:rFonts w:ascii="Times New Roman" w:hAnsi="Times New Roman" w:cs="Times New Roman"/>
          <w:sz w:val="24"/>
          <w:szCs w:val="24"/>
        </w:rPr>
      </w:pPr>
    </w:p>
    <w:p w:rsidR="00E80A12" w:rsidRPr="00C24477" w:rsidRDefault="00E80A12" w:rsidP="00243CB6">
      <w:pPr>
        <w:spacing w:after="0" w:line="360" w:lineRule="auto"/>
        <w:jc w:val="both"/>
        <w:rPr>
          <w:rFonts w:ascii="Times New Roman" w:hAnsi="Times New Roman" w:cs="Times New Roman"/>
          <w:sz w:val="24"/>
          <w:szCs w:val="24"/>
        </w:rPr>
      </w:pPr>
    </w:p>
    <w:p w:rsidR="00E80A12" w:rsidRDefault="00E80A12" w:rsidP="00AE64A2">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extent cx="5462373" cy="4057650"/>
            <wp:effectExtent l="0" t="0" r="508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803" cy="4060941"/>
                    </a:xfrm>
                    <a:prstGeom prst="rect">
                      <a:avLst/>
                    </a:prstGeom>
                  </pic:spPr>
                </pic:pic>
              </a:graphicData>
            </a:graphic>
          </wp:inline>
        </w:drawing>
      </w:r>
    </w:p>
    <w:p w:rsidR="00E80A12" w:rsidRPr="00E80A12" w:rsidRDefault="00E80A12" w:rsidP="00880E0D">
      <w:pPr>
        <w:spacing w:after="0"/>
        <w:ind w:right="-341"/>
        <w:jc w:val="both"/>
        <w:rPr>
          <w:rFonts w:ascii="Times New Roman" w:hAnsi="Times New Roman" w:cs="Times New Roman"/>
          <w:sz w:val="24"/>
          <w:szCs w:val="24"/>
        </w:rPr>
      </w:pPr>
      <w:r>
        <w:rPr>
          <w:rFonts w:eastAsiaTheme="minorEastAsia" w:hAnsi="Calibri"/>
          <w:b/>
          <w:bCs/>
          <w:i/>
          <w:iCs/>
          <w:color w:val="000000" w:themeColor="text1"/>
          <w:kern w:val="24"/>
        </w:rPr>
        <w:t>Εικόνα 3</w:t>
      </w:r>
      <w:r w:rsidRPr="00E80A12">
        <w:rPr>
          <w:rFonts w:eastAsiaTheme="minorEastAsia" w:hAnsi="Calibri"/>
          <w:b/>
          <w:bCs/>
          <w:i/>
          <w:iCs/>
          <w:color w:val="000000" w:themeColor="text1"/>
          <w:kern w:val="24"/>
        </w:rPr>
        <w:t xml:space="preserve">: </w:t>
      </w:r>
      <w:r>
        <w:rPr>
          <w:rFonts w:eastAsiaTheme="minorEastAsia" w:hAnsi="Calibri"/>
          <w:i/>
          <w:iCs/>
          <w:color w:val="000000" w:themeColor="text1"/>
          <w:kern w:val="24"/>
          <w:lang w:val="en-US"/>
        </w:rPr>
        <w:t>A</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rPr>
        <w:t xml:space="preserve">Φαινοτυπική ετερογένεια των κυττάρων του κλώνου στις </w:t>
      </w:r>
      <w:r>
        <w:rPr>
          <w:rFonts w:eastAsiaTheme="minorEastAsia" w:hAnsi="Calibri"/>
          <w:i/>
          <w:iCs/>
          <w:color w:val="000000" w:themeColor="text1"/>
          <w:kern w:val="24"/>
          <w:lang w:val="en-US"/>
        </w:rPr>
        <w:t>MRD</w:t>
      </w:r>
      <w:r w:rsidRPr="00E80A12">
        <w:rPr>
          <w:rFonts w:eastAsiaTheme="minorEastAsia" w:hAnsi="Calibri"/>
          <w:i/>
          <w:iCs/>
          <w:color w:val="000000" w:themeColor="text1"/>
          <w:kern w:val="24"/>
        </w:rPr>
        <w:t>+</w:t>
      </w:r>
      <w:r w:rsidRPr="00E80A12">
        <w:rPr>
          <w:rFonts w:eastAsiaTheme="minorEastAsia" w:hAnsi="Calibri"/>
          <w:i/>
          <w:iCs/>
          <w:color w:val="000000" w:themeColor="text1"/>
          <w:kern w:val="24"/>
          <w:position w:val="7"/>
          <w:vertAlign w:val="superscript"/>
        </w:rPr>
        <w:t xml:space="preserve"> </w:t>
      </w:r>
      <w:r>
        <w:rPr>
          <w:rFonts w:eastAsiaTheme="minorEastAsia" w:hAnsi="Calibri"/>
          <w:i/>
          <w:iCs/>
          <w:color w:val="000000" w:themeColor="text1"/>
          <w:kern w:val="24"/>
        </w:rPr>
        <w:t>περιπτώσεις. Κάθε σειρά συγκροτεί τον πλήρη φαινότυπο των κλωνικών κυττάρων για κάθε ασθενή. Κόκκινο</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rPr>
        <w:t>Αρνητική έκφραση, Πράσινο</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rPr>
        <w:t>Θετική έκφραση, Μπλε</w:t>
      </w:r>
      <w:r w:rsidRPr="00E80A12">
        <w:rPr>
          <w:rFonts w:eastAsiaTheme="minorEastAsia" w:hAnsi="Calibri"/>
          <w:i/>
          <w:iCs/>
          <w:color w:val="000000" w:themeColor="text1"/>
          <w:kern w:val="24"/>
        </w:rPr>
        <w:t>:</w:t>
      </w:r>
      <w:r>
        <w:rPr>
          <w:rFonts w:eastAsiaTheme="minorEastAsia" w:hAnsi="Calibri"/>
          <w:i/>
          <w:iCs/>
          <w:color w:val="000000" w:themeColor="text1"/>
          <w:kern w:val="24"/>
        </w:rPr>
        <w:t xml:space="preserve"> Διάχυτη έκφραση. </w:t>
      </w:r>
      <w:r>
        <w:rPr>
          <w:rFonts w:eastAsiaTheme="minorEastAsia" w:hAnsi="Calibri"/>
          <w:i/>
          <w:iCs/>
          <w:color w:val="000000" w:themeColor="text1"/>
          <w:kern w:val="24"/>
          <w:lang w:val="en-US"/>
        </w:rPr>
        <w:t>B</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lang w:val="en-US"/>
        </w:rPr>
        <w:t>t</w:t>
      </w:r>
      <w:r w:rsidRPr="00E80A12">
        <w:rPr>
          <w:rFonts w:eastAsiaTheme="minorEastAsia" w:hAnsi="Calibri"/>
          <w:i/>
          <w:iCs/>
          <w:color w:val="000000" w:themeColor="text1"/>
          <w:kern w:val="24"/>
        </w:rPr>
        <w:t>-</w:t>
      </w:r>
      <w:r>
        <w:rPr>
          <w:rFonts w:eastAsiaTheme="minorEastAsia" w:hAnsi="Calibri"/>
          <w:i/>
          <w:iCs/>
          <w:color w:val="000000" w:themeColor="text1"/>
          <w:kern w:val="24"/>
          <w:lang w:val="en-US"/>
        </w:rPr>
        <w:t>SNE</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rPr>
        <w:t xml:space="preserve">αναπαράσταση μιας </w:t>
      </w:r>
      <w:r>
        <w:rPr>
          <w:rFonts w:eastAsiaTheme="minorEastAsia" w:hAnsi="Calibri"/>
          <w:i/>
          <w:iCs/>
          <w:color w:val="000000" w:themeColor="text1"/>
          <w:kern w:val="24"/>
          <w:lang w:val="en-US"/>
        </w:rPr>
        <w:t>MRD</w:t>
      </w:r>
      <w:r w:rsidRPr="00E80A12">
        <w:rPr>
          <w:rFonts w:eastAsiaTheme="minorEastAsia" w:hAnsi="Calibri"/>
          <w:i/>
          <w:iCs/>
          <w:color w:val="000000" w:themeColor="text1"/>
          <w:kern w:val="24"/>
        </w:rPr>
        <w:t>+</w:t>
      </w:r>
      <w:r>
        <w:rPr>
          <w:rFonts w:eastAsiaTheme="minorEastAsia" w:hAnsi="Calibri"/>
          <w:i/>
          <w:iCs/>
          <w:color w:val="000000" w:themeColor="text1"/>
          <w:kern w:val="24"/>
        </w:rPr>
        <w:t xml:space="preserve"> περίπτωσης με εξαιρετικά χαμηλό φορτίο νόσου, όπου τα παθολογικά πλασματοκύτταρα (κόκκινο χρώμα) έχουν ένα ξεκάθαρα διακριτό φαινότυπο σε σχέση με τα φυσιολογικά (μπλε). Γ</w:t>
      </w:r>
      <w:r w:rsidRPr="00E80A12">
        <w:rPr>
          <w:rFonts w:eastAsiaTheme="minorEastAsia" w:hAnsi="Calibri"/>
          <w:i/>
          <w:iCs/>
          <w:color w:val="000000" w:themeColor="text1"/>
          <w:kern w:val="24"/>
        </w:rPr>
        <w:t xml:space="preserve">: </w:t>
      </w:r>
      <w:r>
        <w:rPr>
          <w:rFonts w:eastAsiaTheme="minorEastAsia" w:hAnsi="Calibri"/>
          <w:i/>
          <w:iCs/>
          <w:color w:val="000000" w:themeColor="text1"/>
          <w:kern w:val="24"/>
        </w:rPr>
        <w:t xml:space="preserve">Σχετική (%) σημαντικότητα του κάθε επιφανειακού πρωτεϊνικού δείκτη για τη διάκριση των κλωνικών πλασματοκυττάρων του κάθε δείγματος, για το σύνολο των 30 </w:t>
      </w:r>
      <w:r>
        <w:rPr>
          <w:rFonts w:eastAsiaTheme="minorEastAsia" w:hAnsi="Calibri"/>
          <w:i/>
          <w:iCs/>
          <w:color w:val="000000" w:themeColor="text1"/>
          <w:kern w:val="24"/>
          <w:lang w:val="en-US"/>
        </w:rPr>
        <w:t>MRD</w:t>
      </w:r>
      <w:r>
        <w:rPr>
          <w:rFonts w:eastAsiaTheme="minorEastAsia" w:hAnsi="Calibri"/>
          <w:i/>
          <w:iCs/>
          <w:color w:val="000000" w:themeColor="text1"/>
          <w:kern w:val="24"/>
        </w:rPr>
        <w:t>+περιστατικών</w:t>
      </w:r>
    </w:p>
    <w:p w:rsidR="00E80A12" w:rsidRPr="00CC360F" w:rsidRDefault="00E80A12" w:rsidP="00E80A12">
      <w:pPr>
        <w:spacing w:after="0" w:line="360" w:lineRule="auto"/>
        <w:jc w:val="both"/>
        <w:rPr>
          <w:rFonts w:ascii="Times New Roman" w:hAnsi="Times New Roman" w:cs="Times New Roman"/>
          <w:sz w:val="24"/>
          <w:szCs w:val="24"/>
        </w:rPr>
      </w:pPr>
    </w:p>
    <w:p w:rsidR="00880E0D" w:rsidRDefault="00C32987" w:rsidP="00E80A12">
      <w:pPr>
        <w:spacing w:after="0" w:line="360" w:lineRule="auto"/>
        <w:jc w:val="both"/>
        <w:rPr>
          <w:rFonts w:ascii="Times New Roman" w:hAnsi="Times New Roman" w:cs="Times New Roman"/>
          <w:sz w:val="24"/>
          <w:szCs w:val="24"/>
        </w:rPr>
      </w:pPr>
      <w:r w:rsidRPr="00243CB6">
        <w:rPr>
          <w:rFonts w:ascii="Times New Roman" w:hAnsi="Times New Roman" w:cs="Times New Roman"/>
          <w:sz w:val="24"/>
          <w:szCs w:val="24"/>
        </w:rPr>
        <w:t xml:space="preserve">Εκτός </w:t>
      </w:r>
      <w:r w:rsidR="00880E0D">
        <w:rPr>
          <w:rFonts w:ascii="Times New Roman" w:hAnsi="Times New Roman" w:cs="Times New Roman"/>
          <w:sz w:val="24"/>
          <w:szCs w:val="24"/>
        </w:rPr>
        <w:t xml:space="preserve">όμως </w:t>
      </w:r>
      <w:r w:rsidRPr="00243CB6">
        <w:rPr>
          <w:rFonts w:ascii="Times New Roman" w:hAnsi="Times New Roman" w:cs="Times New Roman"/>
          <w:sz w:val="24"/>
          <w:szCs w:val="24"/>
        </w:rPr>
        <w:t>από την αξιοσημείωτη φαινοτυπική ετερογένεια</w:t>
      </w:r>
      <w:r w:rsidR="00880E0D">
        <w:rPr>
          <w:rFonts w:ascii="Times New Roman" w:hAnsi="Times New Roman" w:cs="Times New Roman"/>
          <w:sz w:val="24"/>
          <w:szCs w:val="24"/>
        </w:rPr>
        <w:t xml:space="preserve"> που παρατηρήθηκε μεταξύ των </w:t>
      </w:r>
      <w:r w:rsidR="00880E0D">
        <w:rPr>
          <w:rFonts w:ascii="Times New Roman" w:hAnsi="Times New Roman" w:cs="Times New Roman"/>
          <w:sz w:val="24"/>
          <w:szCs w:val="24"/>
          <w:lang w:val="en-US"/>
        </w:rPr>
        <w:t>MRD</w:t>
      </w:r>
      <w:r w:rsidR="00880E0D" w:rsidRPr="00880E0D">
        <w:rPr>
          <w:rFonts w:ascii="Times New Roman" w:hAnsi="Times New Roman" w:cs="Times New Roman"/>
          <w:sz w:val="24"/>
          <w:szCs w:val="24"/>
        </w:rPr>
        <w:t>+</w:t>
      </w:r>
      <w:r w:rsidRPr="00243CB6">
        <w:rPr>
          <w:rFonts w:ascii="Times New Roman" w:hAnsi="Times New Roman" w:cs="Times New Roman"/>
          <w:sz w:val="24"/>
          <w:szCs w:val="24"/>
        </w:rPr>
        <w:t xml:space="preserve"> ασθενών, διαπιστώθηκαν φαινοτυπικά διακριτοί πληθυσμοί κλωνικών πλασματοκυττάρων και εντός του ίδιου δείγ</w:t>
      </w:r>
      <w:r w:rsidR="00880E0D">
        <w:rPr>
          <w:rFonts w:ascii="Times New Roman" w:hAnsi="Times New Roman" w:cs="Times New Roman"/>
          <w:sz w:val="24"/>
          <w:szCs w:val="24"/>
        </w:rPr>
        <w:t xml:space="preserve">ματος. Πιο συγκεκριμένα, σε 4 </w:t>
      </w:r>
      <w:r w:rsidR="00880E0D">
        <w:rPr>
          <w:rFonts w:ascii="Times New Roman" w:hAnsi="Times New Roman" w:cs="Times New Roman"/>
          <w:sz w:val="24"/>
          <w:szCs w:val="24"/>
          <w:lang w:val="en-US"/>
        </w:rPr>
        <w:t>MRD</w:t>
      </w:r>
      <w:r w:rsidR="00880E0D" w:rsidRPr="00880E0D">
        <w:rPr>
          <w:rFonts w:ascii="Times New Roman" w:hAnsi="Times New Roman" w:cs="Times New Roman"/>
          <w:sz w:val="24"/>
          <w:szCs w:val="24"/>
        </w:rPr>
        <w:t xml:space="preserve"> </w:t>
      </w:r>
      <w:r w:rsidRPr="00243CB6">
        <w:rPr>
          <w:rFonts w:ascii="Times New Roman" w:hAnsi="Times New Roman" w:cs="Times New Roman"/>
          <w:sz w:val="24"/>
          <w:szCs w:val="24"/>
        </w:rPr>
        <w:t>περιπτώσεις διαπιστώθηκε η συνύπαρξη δύο διαφορετικών κλωνικών πληθυσμών με εμφανώς διακριτά φαινοτυπικά χαρακτηριστικά. Σε δ</w:t>
      </w:r>
      <w:r w:rsidR="00880E0D">
        <w:rPr>
          <w:rFonts w:ascii="Times New Roman" w:hAnsi="Times New Roman" w:cs="Times New Roman"/>
          <w:sz w:val="24"/>
          <w:szCs w:val="24"/>
        </w:rPr>
        <w:t xml:space="preserve">ύο από αυτές τις </w:t>
      </w:r>
      <w:r w:rsidRPr="00243CB6">
        <w:rPr>
          <w:rFonts w:ascii="Times New Roman" w:hAnsi="Times New Roman" w:cs="Times New Roman"/>
          <w:sz w:val="24"/>
          <w:szCs w:val="24"/>
        </w:rPr>
        <w:t xml:space="preserve">περιπτώσεις, οι δύο επί μέρους μονοκλωνικοί υποπληθυσμοί (και οι δύο κάππα στην πρώτη περίπτωση, και οι δύο λάμδα στη δεύτερη) διακρίθηκαν βάσει της διαφορετικής έκφρασης του δείκτη </w:t>
      </w:r>
      <w:r w:rsidRPr="00243CB6">
        <w:rPr>
          <w:rFonts w:ascii="Times New Roman" w:hAnsi="Times New Roman" w:cs="Times New Roman"/>
          <w:sz w:val="24"/>
          <w:szCs w:val="24"/>
          <w:lang w:val="en-US"/>
        </w:rPr>
        <w:t>CD</w:t>
      </w:r>
      <w:r w:rsidRPr="00243CB6">
        <w:rPr>
          <w:rFonts w:ascii="Times New Roman" w:hAnsi="Times New Roman" w:cs="Times New Roman"/>
          <w:sz w:val="24"/>
          <w:szCs w:val="24"/>
        </w:rPr>
        <w:t>56 (</w:t>
      </w:r>
      <w:r w:rsidR="00880E0D">
        <w:rPr>
          <w:rFonts w:ascii="Times New Roman" w:hAnsi="Times New Roman" w:cs="Times New Roman"/>
          <w:b/>
          <w:sz w:val="24"/>
          <w:szCs w:val="24"/>
        </w:rPr>
        <w:t>Εικόνα 4Α και 4</w:t>
      </w:r>
      <w:r w:rsidRPr="00243CB6">
        <w:rPr>
          <w:rFonts w:ascii="Times New Roman" w:hAnsi="Times New Roman" w:cs="Times New Roman"/>
          <w:b/>
          <w:sz w:val="24"/>
          <w:szCs w:val="24"/>
        </w:rPr>
        <w:t>Β)</w:t>
      </w:r>
      <w:r w:rsidRPr="00243CB6">
        <w:rPr>
          <w:rFonts w:ascii="Times New Roman" w:hAnsi="Times New Roman" w:cs="Times New Roman"/>
          <w:sz w:val="24"/>
          <w:szCs w:val="24"/>
        </w:rPr>
        <w:t xml:space="preserve">. Στην τρίτη περίπτωση, οι δύο κάππα υποπληθυσμοί διακρίθηκαν βάσει της διαφορικής έκφρασης του δείκτη </w:t>
      </w:r>
      <w:r w:rsidRPr="00243CB6">
        <w:rPr>
          <w:rFonts w:ascii="Times New Roman" w:hAnsi="Times New Roman" w:cs="Times New Roman"/>
          <w:sz w:val="24"/>
          <w:szCs w:val="24"/>
          <w:lang w:val="en-US"/>
        </w:rPr>
        <w:t>CD</w:t>
      </w:r>
      <w:r w:rsidRPr="00243CB6">
        <w:rPr>
          <w:rFonts w:ascii="Times New Roman" w:hAnsi="Times New Roman" w:cs="Times New Roman"/>
          <w:sz w:val="24"/>
          <w:szCs w:val="24"/>
        </w:rPr>
        <w:t xml:space="preserve">19 (το κύριο υποσύνολο ήταν </w:t>
      </w:r>
      <w:r w:rsidRPr="00243CB6">
        <w:rPr>
          <w:rFonts w:ascii="Times New Roman" w:hAnsi="Times New Roman" w:cs="Times New Roman"/>
          <w:sz w:val="24"/>
          <w:szCs w:val="24"/>
          <w:lang w:val="en-US"/>
        </w:rPr>
        <w:t>CD</w:t>
      </w:r>
      <w:r w:rsidRPr="00243CB6">
        <w:rPr>
          <w:rFonts w:ascii="Times New Roman" w:hAnsi="Times New Roman" w:cs="Times New Roman"/>
          <w:sz w:val="24"/>
          <w:szCs w:val="24"/>
        </w:rPr>
        <w:t>19</w:t>
      </w:r>
      <w:r w:rsidRPr="00243CB6">
        <w:rPr>
          <w:rFonts w:ascii="Times New Roman" w:hAnsi="Times New Roman" w:cs="Times New Roman"/>
          <w:sz w:val="24"/>
          <w:szCs w:val="24"/>
          <w:vertAlign w:val="superscript"/>
        </w:rPr>
        <w:t>-</w:t>
      </w:r>
      <w:r w:rsidRPr="00243CB6">
        <w:rPr>
          <w:rFonts w:ascii="Times New Roman" w:hAnsi="Times New Roman" w:cs="Times New Roman"/>
          <w:sz w:val="24"/>
          <w:szCs w:val="24"/>
        </w:rPr>
        <w:t xml:space="preserve">), και στην τέταρτη περίπτωση οι δύο κάππα κλωνικοί υποπληθυσμοί που ανιχνεύθηκαν είχαν σαφώς διακριτή </w:t>
      </w:r>
      <w:r w:rsidRPr="00243CB6">
        <w:rPr>
          <w:rFonts w:ascii="Times New Roman" w:hAnsi="Times New Roman" w:cs="Times New Roman"/>
          <w:sz w:val="24"/>
          <w:szCs w:val="24"/>
        </w:rPr>
        <w:lastRenderedPageBreak/>
        <w:t xml:space="preserve">έκφραση ως προς τους δείκτες </w:t>
      </w:r>
      <w:r w:rsidRPr="00243CB6">
        <w:rPr>
          <w:rFonts w:ascii="Times New Roman" w:hAnsi="Times New Roman" w:cs="Times New Roman"/>
          <w:sz w:val="24"/>
          <w:szCs w:val="24"/>
          <w:lang w:val="en-US"/>
        </w:rPr>
        <w:t>CD</w:t>
      </w:r>
      <w:r w:rsidRPr="00243CB6">
        <w:rPr>
          <w:rFonts w:ascii="Times New Roman" w:hAnsi="Times New Roman" w:cs="Times New Roman"/>
          <w:sz w:val="24"/>
          <w:szCs w:val="24"/>
        </w:rPr>
        <w:t xml:space="preserve">117 και </w:t>
      </w:r>
      <w:r w:rsidRPr="00243CB6">
        <w:rPr>
          <w:rFonts w:ascii="Times New Roman" w:hAnsi="Times New Roman" w:cs="Times New Roman"/>
          <w:sz w:val="24"/>
          <w:szCs w:val="24"/>
          <w:lang w:val="en-US"/>
        </w:rPr>
        <w:t>CD</w:t>
      </w:r>
      <w:r w:rsidRPr="00243CB6">
        <w:rPr>
          <w:rFonts w:ascii="Times New Roman" w:hAnsi="Times New Roman" w:cs="Times New Roman"/>
          <w:sz w:val="24"/>
          <w:szCs w:val="24"/>
        </w:rPr>
        <w:t>27 (ο κύριος υποκλώνος ήταν CD27</w:t>
      </w:r>
      <w:r w:rsidRPr="00243CB6">
        <w:rPr>
          <w:rFonts w:ascii="Times New Roman" w:hAnsi="Times New Roman" w:cs="Times New Roman"/>
          <w:sz w:val="24"/>
          <w:szCs w:val="24"/>
          <w:vertAlign w:val="superscript"/>
        </w:rPr>
        <w:t>dim</w:t>
      </w:r>
      <w:r w:rsidRPr="00243CB6">
        <w:rPr>
          <w:rFonts w:ascii="Times New Roman" w:hAnsi="Times New Roman" w:cs="Times New Roman"/>
          <w:sz w:val="24"/>
          <w:szCs w:val="24"/>
        </w:rPr>
        <w:t>CD117</w:t>
      </w:r>
      <w:r w:rsidRPr="00243CB6">
        <w:rPr>
          <w:rFonts w:ascii="Times New Roman" w:hAnsi="Times New Roman" w:cs="Times New Roman"/>
          <w:sz w:val="24"/>
          <w:szCs w:val="24"/>
          <w:vertAlign w:val="superscript"/>
        </w:rPr>
        <w:t>+</w:t>
      </w:r>
      <w:r w:rsidRPr="00243CB6">
        <w:rPr>
          <w:rFonts w:ascii="Times New Roman" w:hAnsi="Times New Roman" w:cs="Times New Roman"/>
          <w:sz w:val="24"/>
          <w:szCs w:val="24"/>
        </w:rPr>
        <w:t>, ενώ ο δευτερεύων CD27</w:t>
      </w:r>
      <w:r w:rsidRPr="00243CB6">
        <w:rPr>
          <w:rFonts w:ascii="Times New Roman" w:hAnsi="Times New Roman" w:cs="Times New Roman"/>
          <w:sz w:val="24"/>
          <w:szCs w:val="24"/>
          <w:vertAlign w:val="superscript"/>
        </w:rPr>
        <w:t>+</w:t>
      </w:r>
      <w:r w:rsidRPr="00243CB6">
        <w:rPr>
          <w:rFonts w:ascii="Times New Roman" w:hAnsi="Times New Roman" w:cs="Times New Roman"/>
          <w:sz w:val="24"/>
          <w:szCs w:val="24"/>
        </w:rPr>
        <w:t>CD117</w:t>
      </w:r>
      <w:r w:rsidRPr="00243CB6">
        <w:rPr>
          <w:rFonts w:ascii="Times New Roman" w:hAnsi="Times New Roman" w:cs="Times New Roman"/>
          <w:sz w:val="24"/>
          <w:szCs w:val="24"/>
          <w:vertAlign w:val="superscript"/>
        </w:rPr>
        <w:t>-</w:t>
      </w:r>
      <w:r w:rsidRPr="00243CB6">
        <w:rPr>
          <w:rFonts w:ascii="Times New Roman" w:hAnsi="Times New Roman" w:cs="Times New Roman"/>
          <w:sz w:val="24"/>
          <w:szCs w:val="24"/>
        </w:rPr>
        <w:t>) (</w:t>
      </w:r>
      <w:r w:rsidR="00880E0D">
        <w:rPr>
          <w:rFonts w:ascii="Times New Roman" w:hAnsi="Times New Roman" w:cs="Times New Roman"/>
          <w:b/>
          <w:sz w:val="24"/>
          <w:szCs w:val="24"/>
        </w:rPr>
        <w:t>Εικόνα 4Γ και 4</w:t>
      </w:r>
      <w:r w:rsidRPr="00243CB6">
        <w:rPr>
          <w:rFonts w:ascii="Times New Roman" w:hAnsi="Times New Roman" w:cs="Times New Roman"/>
          <w:b/>
          <w:sz w:val="24"/>
          <w:szCs w:val="24"/>
        </w:rPr>
        <w:t>Δ</w:t>
      </w:r>
      <w:r w:rsidRPr="00243CB6">
        <w:rPr>
          <w:rFonts w:ascii="Times New Roman" w:hAnsi="Times New Roman" w:cs="Times New Roman"/>
          <w:sz w:val="24"/>
          <w:szCs w:val="24"/>
        </w:rPr>
        <w:t>).</w:t>
      </w:r>
    </w:p>
    <w:p w:rsidR="00880E0D" w:rsidRPr="00243CB6" w:rsidRDefault="00880E0D" w:rsidP="00E80A12">
      <w:pPr>
        <w:spacing w:after="0" w:line="360" w:lineRule="auto"/>
        <w:jc w:val="both"/>
        <w:rPr>
          <w:rFonts w:ascii="Times New Roman" w:hAnsi="Times New Roman" w:cs="Times New Roman"/>
          <w:sz w:val="24"/>
          <w:szCs w:val="24"/>
        </w:rPr>
      </w:pPr>
    </w:p>
    <w:p w:rsidR="00C32987" w:rsidRDefault="00E80A12" w:rsidP="00880E0D">
      <w:pPr>
        <w:spacing w:after="0" w:line="360" w:lineRule="auto"/>
        <w:jc w:val="center"/>
        <w:rPr>
          <w:rFonts w:ascii="Arial" w:hAnsi="Arial" w:cs="Arial"/>
          <w:b/>
          <w:sz w:val="24"/>
          <w:szCs w:val="24"/>
          <w:lang w:val="en-US"/>
        </w:rPr>
      </w:pPr>
      <w:r>
        <w:rPr>
          <w:rFonts w:ascii="Arial" w:hAnsi="Arial" w:cs="Arial"/>
          <w:b/>
          <w:noProof/>
          <w:sz w:val="24"/>
          <w:szCs w:val="24"/>
          <w:lang w:eastAsia="el-GR"/>
        </w:rPr>
        <w:drawing>
          <wp:inline distT="0" distB="0" distL="0" distR="0" wp14:anchorId="137C3834" wp14:editId="1F84EE32">
            <wp:extent cx="5188688" cy="602906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5.png"/>
                    <pic:cNvPicPr/>
                  </pic:nvPicPr>
                  <pic:blipFill>
                    <a:blip r:embed="rId9">
                      <a:extLst>
                        <a:ext uri="{28A0092B-C50C-407E-A947-70E740481C1C}">
                          <a14:useLocalDpi xmlns:a14="http://schemas.microsoft.com/office/drawing/2010/main" val="0"/>
                        </a:ext>
                      </a:extLst>
                    </a:blip>
                    <a:stretch>
                      <a:fillRect/>
                    </a:stretch>
                  </pic:blipFill>
                  <pic:spPr>
                    <a:xfrm>
                      <a:off x="0" y="0"/>
                      <a:ext cx="5191221" cy="6032008"/>
                    </a:xfrm>
                    <a:prstGeom prst="rect">
                      <a:avLst/>
                    </a:prstGeom>
                  </pic:spPr>
                </pic:pic>
              </a:graphicData>
            </a:graphic>
          </wp:inline>
        </w:drawing>
      </w:r>
    </w:p>
    <w:p w:rsidR="00880E0D" w:rsidRPr="00880E0D" w:rsidRDefault="00880E0D" w:rsidP="00880E0D">
      <w:pPr>
        <w:spacing w:after="0" w:line="360" w:lineRule="auto"/>
        <w:jc w:val="center"/>
        <w:rPr>
          <w:rFonts w:ascii="Arial" w:hAnsi="Arial" w:cs="Arial"/>
          <w:b/>
          <w:sz w:val="12"/>
          <w:szCs w:val="12"/>
          <w:lang w:val="en-US"/>
        </w:rPr>
      </w:pPr>
    </w:p>
    <w:p w:rsidR="00880E0D" w:rsidRPr="00880E0D" w:rsidRDefault="00880E0D" w:rsidP="00880E0D">
      <w:pPr>
        <w:pStyle w:val="Web"/>
        <w:spacing w:before="0" w:beforeAutospacing="0" w:after="0" w:afterAutospacing="0"/>
        <w:jc w:val="both"/>
        <w:rPr>
          <w:i/>
        </w:rPr>
      </w:pPr>
      <w:r w:rsidRPr="00880E0D">
        <w:rPr>
          <w:rFonts w:asciiTheme="minorHAnsi" w:eastAsiaTheme="minorEastAsia" w:hAnsi="Calibri" w:cstheme="minorBidi"/>
          <w:b/>
          <w:bCs/>
          <w:i/>
          <w:iCs/>
          <w:color w:val="000000" w:themeColor="text1"/>
          <w:kern w:val="24"/>
        </w:rPr>
        <w:t>Εικόνα 4</w:t>
      </w:r>
      <w:r w:rsidRPr="00880E0D">
        <w:rPr>
          <w:rFonts w:asciiTheme="minorHAnsi" w:eastAsiaTheme="minorEastAsia" w:hAnsi="Calibri" w:cstheme="minorBidi"/>
          <w:b/>
          <w:bCs/>
          <w:i/>
          <w:color w:val="002060"/>
          <w:kern w:val="24"/>
        </w:rPr>
        <w:t>:</w:t>
      </w:r>
      <w:r w:rsidRPr="00880E0D">
        <w:rPr>
          <w:rFonts w:asciiTheme="minorHAnsi" w:eastAsiaTheme="minorEastAsia" w:hAnsi="Calibri" w:cstheme="minorBidi"/>
          <w:i/>
          <w:color w:val="002060"/>
          <w:kern w:val="24"/>
        </w:rPr>
        <w:t xml:space="preserve"> </w:t>
      </w:r>
      <w:r w:rsidRPr="00880E0D">
        <w:rPr>
          <w:rFonts w:asciiTheme="minorHAnsi" w:eastAsiaTheme="minorEastAsia" w:hAnsi="Calibri" w:cstheme="minorBidi"/>
          <w:i/>
          <w:color w:val="000000" w:themeColor="text1"/>
          <w:kern w:val="24"/>
        </w:rPr>
        <w:t xml:space="preserve">Φαινοτυπικός χαρακτηρισμός των 4 διφαινοτυπικών </w:t>
      </w:r>
      <w:r w:rsidRPr="00880E0D">
        <w:rPr>
          <w:rFonts w:asciiTheme="minorHAnsi" w:eastAsiaTheme="minorEastAsia" w:hAnsi="Calibri" w:cstheme="minorBidi"/>
          <w:i/>
          <w:color w:val="000000" w:themeColor="text1"/>
          <w:kern w:val="24"/>
          <w:lang w:val="en-US"/>
        </w:rPr>
        <w:t>MRD</w:t>
      </w:r>
      <w:r w:rsidRPr="00880E0D">
        <w:rPr>
          <w:rFonts w:asciiTheme="minorHAnsi" w:eastAsiaTheme="minorEastAsia" w:hAnsi="Calibri" w:cstheme="minorBidi"/>
          <w:i/>
          <w:color w:val="000000" w:themeColor="text1"/>
          <w:kern w:val="24"/>
        </w:rPr>
        <w:t xml:space="preserve">+ περιπτώσεων. Α: Οι δύο </w:t>
      </w:r>
      <w:r w:rsidRPr="00880E0D">
        <w:rPr>
          <w:rFonts w:asciiTheme="minorHAnsi" w:eastAsiaTheme="minorEastAsia" w:hAnsi="Calibri" w:cstheme="minorBidi"/>
          <w:i/>
          <w:color w:val="000000" w:themeColor="text1"/>
          <w:kern w:val="24"/>
          <w:lang w:val="en-US"/>
        </w:rPr>
        <w:t>MRD</w:t>
      </w:r>
      <w:r w:rsidRPr="00880E0D">
        <w:rPr>
          <w:rFonts w:asciiTheme="minorHAnsi" w:eastAsiaTheme="minorEastAsia" w:hAnsi="Calibri" w:cstheme="minorBidi"/>
          <w:i/>
          <w:color w:val="000000" w:themeColor="text1"/>
          <w:kern w:val="24"/>
        </w:rPr>
        <w:t xml:space="preserve"> κάππα κλωνικοί πληθυσμοί εκφράζουν σε διαφορετικά επίπεδα το δείκτη </w:t>
      </w:r>
      <w:r w:rsidRPr="00880E0D">
        <w:rPr>
          <w:rFonts w:asciiTheme="minorHAnsi" w:eastAsiaTheme="minorEastAsia" w:hAnsi="Calibri" w:cstheme="minorBidi"/>
          <w:i/>
          <w:color w:val="000000" w:themeColor="text1"/>
          <w:kern w:val="24"/>
          <w:lang w:val="en-US"/>
        </w:rPr>
        <w:t>CD</w:t>
      </w:r>
      <w:r w:rsidRPr="00880E0D">
        <w:rPr>
          <w:rFonts w:asciiTheme="minorHAnsi" w:eastAsiaTheme="minorEastAsia" w:hAnsi="Calibri" w:cstheme="minorBidi"/>
          <w:i/>
          <w:color w:val="000000" w:themeColor="text1"/>
          <w:kern w:val="24"/>
        </w:rPr>
        <w:t>56.</w:t>
      </w:r>
      <w:r w:rsidRPr="00880E0D">
        <w:rPr>
          <w:rFonts w:asciiTheme="minorHAnsi" w:eastAsiaTheme="minorEastAsia" w:hAnsi="Calibri" w:cstheme="minorBidi"/>
          <w:i/>
          <w:iCs/>
          <w:color w:val="000000" w:themeColor="text1"/>
          <w:kern w:val="24"/>
        </w:rPr>
        <w:t xml:space="preserve"> Β: Διφαινοτυπικό δείγμα με δύο λάμδα μονοκλωνικούς πληθυσμούς που διακρίνονται πάλι βάσει του </w:t>
      </w:r>
      <w:r w:rsidRPr="00880E0D">
        <w:rPr>
          <w:rFonts w:asciiTheme="minorHAnsi" w:eastAsiaTheme="minorEastAsia" w:hAnsi="Calibri" w:cstheme="minorBidi"/>
          <w:i/>
          <w:iCs/>
          <w:color w:val="000000" w:themeColor="text1"/>
          <w:kern w:val="24"/>
          <w:lang w:val="en-US"/>
        </w:rPr>
        <w:t>CD</w:t>
      </w:r>
      <w:r w:rsidRPr="00880E0D">
        <w:rPr>
          <w:rFonts w:asciiTheme="minorHAnsi" w:eastAsiaTheme="minorEastAsia" w:hAnsi="Calibri" w:cstheme="minorBidi"/>
          <w:i/>
          <w:iCs/>
          <w:color w:val="000000" w:themeColor="text1"/>
          <w:kern w:val="24"/>
        </w:rPr>
        <w:t xml:space="preserve">56. Γ: Ταυτόχρονη παρουσία δύο κάππα κλωνικών πληθυσμών με διαφορική έκφραση του δείκτη </w:t>
      </w:r>
      <w:r w:rsidRPr="00880E0D">
        <w:rPr>
          <w:rFonts w:asciiTheme="minorHAnsi" w:eastAsiaTheme="minorEastAsia" w:hAnsi="Calibri" w:cstheme="minorBidi"/>
          <w:i/>
          <w:iCs/>
          <w:color w:val="000000" w:themeColor="text1"/>
          <w:kern w:val="24"/>
          <w:lang w:val="en-US"/>
        </w:rPr>
        <w:t>CD</w:t>
      </w:r>
      <w:r w:rsidRPr="00880E0D">
        <w:rPr>
          <w:rFonts w:asciiTheme="minorHAnsi" w:eastAsiaTheme="minorEastAsia" w:hAnsi="Calibri" w:cstheme="minorBidi"/>
          <w:i/>
          <w:iCs/>
          <w:color w:val="000000" w:themeColor="text1"/>
          <w:kern w:val="24"/>
        </w:rPr>
        <w:t xml:space="preserve">19. Δ: Δείγμα με δύο διακριτούς κάππα υποκλώνους ως προς την έκφραση των δεικτών </w:t>
      </w:r>
      <w:r w:rsidRPr="00880E0D">
        <w:rPr>
          <w:rFonts w:asciiTheme="minorHAnsi" w:eastAsiaTheme="minorEastAsia" w:hAnsi="Calibri" w:cstheme="minorBidi"/>
          <w:i/>
          <w:iCs/>
          <w:color w:val="000000" w:themeColor="text1"/>
          <w:kern w:val="24"/>
          <w:lang w:val="en-US"/>
        </w:rPr>
        <w:t>CD</w:t>
      </w:r>
      <w:r w:rsidRPr="00880E0D">
        <w:rPr>
          <w:rFonts w:asciiTheme="minorHAnsi" w:eastAsiaTheme="minorEastAsia" w:hAnsi="Calibri" w:cstheme="minorBidi"/>
          <w:i/>
          <w:iCs/>
          <w:color w:val="000000" w:themeColor="text1"/>
          <w:kern w:val="24"/>
        </w:rPr>
        <w:t xml:space="preserve">117 και </w:t>
      </w:r>
      <w:r w:rsidRPr="00880E0D">
        <w:rPr>
          <w:rFonts w:asciiTheme="minorHAnsi" w:eastAsiaTheme="minorEastAsia" w:hAnsi="Calibri" w:cstheme="minorBidi"/>
          <w:i/>
          <w:iCs/>
          <w:color w:val="000000" w:themeColor="text1"/>
          <w:kern w:val="24"/>
          <w:lang w:val="en-US"/>
        </w:rPr>
        <w:t>CD</w:t>
      </w:r>
      <w:r w:rsidRPr="00880E0D">
        <w:rPr>
          <w:rFonts w:asciiTheme="minorHAnsi" w:eastAsiaTheme="minorEastAsia" w:hAnsi="Calibri" w:cstheme="minorBidi"/>
          <w:i/>
          <w:iCs/>
          <w:color w:val="000000" w:themeColor="text1"/>
          <w:kern w:val="24"/>
        </w:rPr>
        <w:t xml:space="preserve">27.  </w:t>
      </w:r>
    </w:p>
    <w:p w:rsidR="00E80A12" w:rsidRPr="00880E0D" w:rsidRDefault="00E80A12" w:rsidP="00C32987">
      <w:pPr>
        <w:spacing w:after="0" w:line="480" w:lineRule="auto"/>
        <w:jc w:val="both"/>
        <w:rPr>
          <w:rFonts w:ascii="Arial" w:hAnsi="Arial" w:cs="Arial"/>
          <w:b/>
          <w:sz w:val="28"/>
          <w:szCs w:val="28"/>
        </w:rPr>
      </w:pPr>
    </w:p>
    <w:p w:rsidR="00E80A12" w:rsidRPr="00880E0D" w:rsidRDefault="00E80A12" w:rsidP="00C32987">
      <w:pPr>
        <w:spacing w:after="0" w:line="480" w:lineRule="auto"/>
        <w:jc w:val="both"/>
        <w:rPr>
          <w:rFonts w:ascii="Arial" w:hAnsi="Arial" w:cs="Arial"/>
          <w:b/>
          <w:sz w:val="28"/>
          <w:szCs w:val="28"/>
        </w:rPr>
      </w:pPr>
    </w:p>
    <w:p w:rsidR="00CC360F" w:rsidRPr="00CC360F" w:rsidRDefault="00CC360F" w:rsidP="00CC360F">
      <w:pPr>
        <w:spacing w:after="0" w:line="480" w:lineRule="auto"/>
        <w:jc w:val="center"/>
        <w:rPr>
          <w:rFonts w:ascii="Arial" w:hAnsi="Arial" w:cs="Arial"/>
          <w:b/>
          <w:sz w:val="24"/>
          <w:szCs w:val="24"/>
        </w:rPr>
      </w:pPr>
      <w:r>
        <w:rPr>
          <w:rFonts w:ascii="Arial" w:hAnsi="Arial" w:cs="Arial"/>
          <w:b/>
          <w:sz w:val="24"/>
          <w:szCs w:val="24"/>
        </w:rPr>
        <w:lastRenderedPageBreak/>
        <w:t>Διερεύνηση φαινοτυπικών μεταβολών</w:t>
      </w:r>
      <w:r w:rsidRPr="00CC360F">
        <w:rPr>
          <w:rFonts w:ascii="Arial" w:hAnsi="Arial" w:cs="Arial"/>
          <w:b/>
          <w:sz w:val="24"/>
          <w:szCs w:val="24"/>
        </w:rPr>
        <w:t xml:space="preserve"> </w:t>
      </w:r>
      <w:r>
        <w:rPr>
          <w:rFonts w:ascii="Arial" w:hAnsi="Arial" w:cs="Arial"/>
          <w:b/>
          <w:sz w:val="24"/>
          <w:szCs w:val="24"/>
        </w:rPr>
        <w:t>των</w:t>
      </w:r>
      <w:r w:rsidRPr="00CC360F">
        <w:rPr>
          <w:rFonts w:ascii="Arial" w:hAnsi="Arial" w:cs="Arial"/>
          <w:b/>
          <w:sz w:val="24"/>
          <w:szCs w:val="24"/>
        </w:rPr>
        <w:t xml:space="preserve"> κατά την εξέλιξη της νόσου</w:t>
      </w:r>
    </w:p>
    <w:p w:rsidR="00CC360F" w:rsidRPr="00073731" w:rsidRDefault="00CC360F" w:rsidP="00CC36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Ένα σημαντικό ερώτημα που τέθηκε στον προγραμματισμό των στόχων της έρευνάς μας αφορούσε στη διερεύνηση των φαινοτυπικών μεταβολών που ενδεχομένως υφίστανται τα κύτταρα της νόσου λόγω της χορηγούμενης θεραπείας. Έτσι, σε 15 δείγματα ασθενών πραγματοποιήθηκε η φαινοτυπική ανάλυση των κλωνικών πλασματοκυττάρων κατά τη στιγμή της διάγνωσης και ακολούθως πραγματοποιήθηκε ο έλεγχος για την παρουσία της </w:t>
      </w:r>
      <w:r>
        <w:rPr>
          <w:rFonts w:ascii="Times New Roman" w:hAnsi="Times New Roman" w:cs="Times New Roman"/>
          <w:sz w:val="24"/>
          <w:szCs w:val="24"/>
          <w:lang w:val="en-US"/>
        </w:rPr>
        <w:t>MRD</w:t>
      </w:r>
      <w:r w:rsidRPr="00CC360F">
        <w:rPr>
          <w:rFonts w:ascii="Times New Roman" w:hAnsi="Times New Roman" w:cs="Times New Roman"/>
          <w:sz w:val="24"/>
          <w:szCs w:val="24"/>
        </w:rPr>
        <w:t xml:space="preserve"> </w:t>
      </w:r>
      <w:r>
        <w:rPr>
          <w:rFonts w:ascii="Times New Roman" w:hAnsi="Times New Roman" w:cs="Times New Roman"/>
          <w:sz w:val="24"/>
          <w:szCs w:val="24"/>
        </w:rPr>
        <w:t xml:space="preserve">μετά το τέλος της πρώτης γραμμής θεραπείας. </w:t>
      </w:r>
      <w:r w:rsidR="00073731">
        <w:rPr>
          <w:rFonts w:ascii="Times New Roman" w:hAnsi="Times New Roman" w:cs="Times New Roman"/>
          <w:sz w:val="24"/>
          <w:szCs w:val="24"/>
        </w:rPr>
        <w:t xml:space="preserve">Ο έλεγχος του φαινοτύπου κατά τη διάγνωση πραγματοποιήθηκε με τα ίδια </w:t>
      </w:r>
      <w:r w:rsidR="00073731">
        <w:rPr>
          <w:rFonts w:ascii="Times New Roman" w:hAnsi="Times New Roman" w:cs="Times New Roman"/>
          <w:sz w:val="24"/>
          <w:szCs w:val="24"/>
          <w:lang w:val="en-US"/>
        </w:rPr>
        <w:t>panel</w:t>
      </w:r>
      <w:r w:rsidR="00073731" w:rsidRPr="00073731">
        <w:rPr>
          <w:rFonts w:ascii="Times New Roman" w:hAnsi="Times New Roman" w:cs="Times New Roman"/>
          <w:sz w:val="24"/>
          <w:szCs w:val="24"/>
        </w:rPr>
        <w:t xml:space="preserve"> </w:t>
      </w:r>
      <w:r w:rsidR="00073731">
        <w:rPr>
          <w:rFonts w:ascii="Times New Roman" w:hAnsi="Times New Roman" w:cs="Times New Roman"/>
          <w:sz w:val="24"/>
          <w:szCs w:val="24"/>
        </w:rPr>
        <w:t xml:space="preserve">αντισωμάτων που χρησιμοποιήθηκαν για τον έλεγχο της </w:t>
      </w:r>
      <w:r w:rsidR="00073731">
        <w:rPr>
          <w:rFonts w:ascii="Times New Roman" w:hAnsi="Times New Roman" w:cs="Times New Roman"/>
          <w:sz w:val="24"/>
          <w:szCs w:val="24"/>
          <w:lang w:val="en-US"/>
        </w:rPr>
        <w:t>MRD</w:t>
      </w:r>
      <w:r w:rsidR="00073731" w:rsidRPr="00073731">
        <w:rPr>
          <w:rFonts w:ascii="Times New Roman" w:hAnsi="Times New Roman" w:cs="Times New Roman"/>
          <w:sz w:val="24"/>
          <w:szCs w:val="24"/>
        </w:rPr>
        <w:t>.</w:t>
      </w:r>
    </w:p>
    <w:p w:rsidR="00073731" w:rsidRPr="00073731" w:rsidRDefault="00073731" w:rsidP="0007373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Από τους 15 ασθενείς με δ</w:t>
      </w:r>
      <w:r w:rsidR="00957181">
        <w:rPr>
          <w:rFonts w:ascii="Times New Roman" w:hAnsi="Times New Roman" w:cs="Times New Roman"/>
          <w:sz w:val="24"/>
          <w:szCs w:val="24"/>
        </w:rPr>
        <w:t xml:space="preserve">ιαθέσιμο υλικό τόσο κατά τη διάγνωση όσο και μετά τη θεραπεία, μόνο οι έξι </w:t>
      </w:r>
      <w:r>
        <w:rPr>
          <w:rFonts w:ascii="Times New Roman" w:hAnsi="Times New Roman" w:cs="Times New Roman"/>
          <w:sz w:val="24"/>
          <w:szCs w:val="24"/>
        </w:rPr>
        <w:t xml:space="preserve">βρέθηκαν </w:t>
      </w:r>
      <w:r>
        <w:rPr>
          <w:rFonts w:ascii="Times New Roman" w:hAnsi="Times New Roman" w:cs="Times New Roman"/>
          <w:sz w:val="24"/>
          <w:szCs w:val="24"/>
          <w:lang w:val="en-US"/>
        </w:rPr>
        <w:t>MRD</w:t>
      </w:r>
      <w:r w:rsidRPr="00957181">
        <w:rPr>
          <w:rFonts w:ascii="Times New Roman" w:hAnsi="Times New Roman" w:cs="Times New Roman"/>
          <w:sz w:val="24"/>
          <w:szCs w:val="24"/>
        </w:rPr>
        <w:t>+</w:t>
      </w:r>
      <w:r w:rsidR="00957181">
        <w:rPr>
          <w:rFonts w:ascii="Times New Roman" w:hAnsi="Times New Roman" w:cs="Times New Roman"/>
          <w:sz w:val="24"/>
          <w:szCs w:val="24"/>
        </w:rPr>
        <w:t xml:space="preserve"> και χρησιμοποιήθηκαν για φαινοτυπικές συσχετίσεις. Από αυτούς, οι τέσσερις δεν έδειξαν κάποια ουσιαστική φα</w:t>
      </w:r>
      <w:r w:rsidR="00C94443">
        <w:rPr>
          <w:rFonts w:ascii="Times New Roman" w:hAnsi="Times New Roman" w:cs="Times New Roman"/>
          <w:sz w:val="24"/>
          <w:szCs w:val="24"/>
        </w:rPr>
        <w:t>ι</w:t>
      </w:r>
      <w:r w:rsidR="00957181">
        <w:rPr>
          <w:rFonts w:ascii="Times New Roman" w:hAnsi="Times New Roman" w:cs="Times New Roman"/>
          <w:sz w:val="24"/>
          <w:szCs w:val="24"/>
        </w:rPr>
        <w:t xml:space="preserve">νοτυπική μεταβολή </w:t>
      </w:r>
      <w:r w:rsidR="00A14C12">
        <w:rPr>
          <w:rFonts w:ascii="Times New Roman" w:hAnsi="Times New Roman" w:cs="Times New Roman"/>
          <w:sz w:val="24"/>
          <w:szCs w:val="24"/>
        </w:rPr>
        <w:t xml:space="preserve">στα κύτταρα του κλώνου </w:t>
      </w:r>
      <w:r w:rsidR="00957181">
        <w:rPr>
          <w:rFonts w:ascii="Times New Roman" w:hAnsi="Times New Roman" w:cs="Times New Roman"/>
          <w:sz w:val="24"/>
          <w:szCs w:val="24"/>
        </w:rPr>
        <w:t xml:space="preserve">αλλά σε δύο </w:t>
      </w:r>
      <w:r w:rsidR="00C94443">
        <w:rPr>
          <w:rFonts w:ascii="Times New Roman" w:hAnsi="Times New Roman" w:cs="Times New Roman"/>
          <w:sz w:val="24"/>
          <w:szCs w:val="24"/>
        </w:rPr>
        <w:t xml:space="preserve">ασθενείς τα κύτταρα του </w:t>
      </w:r>
      <w:r w:rsidR="00C94443">
        <w:rPr>
          <w:rFonts w:ascii="Times New Roman" w:hAnsi="Times New Roman" w:cs="Times New Roman"/>
          <w:sz w:val="24"/>
          <w:szCs w:val="24"/>
          <w:lang w:val="en-US"/>
        </w:rPr>
        <w:t>MRD</w:t>
      </w:r>
      <w:r w:rsidR="00C94443" w:rsidRPr="00C94443">
        <w:rPr>
          <w:rFonts w:ascii="Times New Roman" w:hAnsi="Times New Roman" w:cs="Times New Roman"/>
          <w:sz w:val="24"/>
          <w:szCs w:val="24"/>
        </w:rPr>
        <w:t xml:space="preserve">+ </w:t>
      </w:r>
      <w:r w:rsidR="00C94443">
        <w:rPr>
          <w:rFonts w:ascii="Times New Roman" w:hAnsi="Times New Roman" w:cs="Times New Roman"/>
          <w:sz w:val="24"/>
          <w:szCs w:val="24"/>
        </w:rPr>
        <w:t xml:space="preserve">πληθυσμού είχαν φαινότυπο ίδιο με αυτόν που είχε κάποιος υποκλώνος στη διάγνωση και όχι ο κύριος πληθυσμός. Πιο συγκεκριμένα, στη μία περίπτωση ο </w:t>
      </w:r>
      <w:r w:rsidR="00C94443">
        <w:rPr>
          <w:rFonts w:ascii="Times New Roman" w:hAnsi="Times New Roman" w:cs="Times New Roman"/>
          <w:sz w:val="24"/>
          <w:szCs w:val="24"/>
          <w:lang w:val="en-US"/>
        </w:rPr>
        <w:t>MRD</w:t>
      </w:r>
      <w:r w:rsidR="00C94443" w:rsidRPr="00C94443">
        <w:rPr>
          <w:rFonts w:ascii="Times New Roman" w:hAnsi="Times New Roman" w:cs="Times New Roman"/>
          <w:sz w:val="24"/>
          <w:szCs w:val="24"/>
        </w:rPr>
        <w:t xml:space="preserve">+ </w:t>
      </w:r>
      <w:r w:rsidR="00C94443">
        <w:rPr>
          <w:rFonts w:ascii="Times New Roman" w:hAnsi="Times New Roman" w:cs="Times New Roman"/>
          <w:sz w:val="24"/>
          <w:szCs w:val="24"/>
        </w:rPr>
        <w:t xml:space="preserve">πληθυσμός βρέθηκε </w:t>
      </w:r>
      <w:r w:rsidR="00C94443">
        <w:rPr>
          <w:rFonts w:ascii="Times New Roman" w:hAnsi="Times New Roman" w:cs="Times New Roman"/>
          <w:sz w:val="24"/>
          <w:szCs w:val="24"/>
          <w:lang w:val="en-US"/>
        </w:rPr>
        <w:t>CD</w:t>
      </w:r>
      <w:r w:rsidR="00C94443" w:rsidRPr="00C94443">
        <w:rPr>
          <w:rFonts w:ascii="Times New Roman" w:hAnsi="Times New Roman" w:cs="Times New Roman"/>
          <w:sz w:val="24"/>
          <w:szCs w:val="24"/>
        </w:rPr>
        <w:t xml:space="preserve">56+ </w:t>
      </w:r>
      <w:r w:rsidR="00C94443">
        <w:rPr>
          <w:rFonts w:ascii="Times New Roman" w:hAnsi="Times New Roman" w:cs="Times New Roman"/>
          <w:sz w:val="24"/>
          <w:szCs w:val="24"/>
        </w:rPr>
        <w:t xml:space="preserve">ενώ στη διάγνωση το </w:t>
      </w:r>
      <w:r w:rsidR="00C94443">
        <w:rPr>
          <w:rFonts w:ascii="Times New Roman" w:hAnsi="Times New Roman" w:cs="Times New Roman"/>
          <w:sz w:val="24"/>
          <w:szCs w:val="24"/>
          <w:lang w:val="en-US"/>
        </w:rPr>
        <w:t>CD</w:t>
      </w:r>
      <w:r w:rsidR="00C94443" w:rsidRPr="00C94443">
        <w:rPr>
          <w:rFonts w:ascii="Times New Roman" w:hAnsi="Times New Roman" w:cs="Times New Roman"/>
          <w:sz w:val="24"/>
          <w:szCs w:val="24"/>
        </w:rPr>
        <w:t xml:space="preserve">56+ </w:t>
      </w:r>
      <w:r w:rsidR="00C94443">
        <w:rPr>
          <w:rFonts w:ascii="Times New Roman" w:hAnsi="Times New Roman" w:cs="Times New Roman"/>
          <w:sz w:val="24"/>
          <w:szCs w:val="24"/>
        </w:rPr>
        <w:t xml:space="preserve">κλάσμα αντιστοιχούσε μόνο στο 15% του κλωνικού φορτίου, ενώ στη δεύτερη περίπτωση τα </w:t>
      </w:r>
      <w:r w:rsidR="00C94443">
        <w:rPr>
          <w:rFonts w:ascii="Times New Roman" w:hAnsi="Times New Roman" w:cs="Times New Roman"/>
          <w:sz w:val="24"/>
          <w:szCs w:val="24"/>
          <w:lang w:val="en-US"/>
        </w:rPr>
        <w:t>MRD</w:t>
      </w:r>
      <w:r w:rsidR="00C94443" w:rsidRPr="00C94443">
        <w:rPr>
          <w:rFonts w:ascii="Times New Roman" w:hAnsi="Times New Roman" w:cs="Times New Roman"/>
          <w:sz w:val="24"/>
          <w:szCs w:val="24"/>
        </w:rPr>
        <w:t xml:space="preserve">+ </w:t>
      </w:r>
      <w:r w:rsidR="00C94443">
        <w:rPr>
          <w:rFonts w:ascii="Times New Roman" w:hAnsi="Times New Roman" w:cs="Times New Roman"/>
          <w:sz w:val="24"/>
          <w:szCs w:val="24"/>
        </w:rPr>
        <w:t xml:space="preserve">κύτταρα βρέθηκαν </w:t>
      </w:r>
      <w:r w:rsidR="00C94443">
        <w:rPr>
          <w:rFonts w:ascii="Times New Roman" w:hAnsi="Times New Roman" w:cs="Times New Roman"/>
          <w:sz w:val="24"/>
          <w:szCs w:val="24"/>
          <w:lang w:val="en-US"/>
        </w:rPr>
        <w:t>CD</w:t>
      </w:r>
      <w:r w:rsidR="00C94443" w:rsidRPr="00C94443">
        <w:rPr>
          <w:rFonts w:ascii="Times New Roman" w:hAnsi="Times New Roman" w:cs="Times New Roman"/>
          <w:sz w:val="24"/>
          <w:szCs w:val="24"/>
        </w:rPr>
        <w:t xml:space="preserve">117+ </w:t>
      </w:r>
      <w:r w:rsidR="00C94443">
        <w:rPr>
          <w:rFonts w:ascii="Times New Roman" w:hAnsi="Times New Roman" w:cs="Times New Roman"/>
          <w:sz w:val="24"/>
          <w:szCs w:val="24"/>
        </w:rPr>
        <w:t>ενώ στη διάγνωση μόνο το 40% των κλωνικών κυττάρων είχε θετικότητα στο δείκτη αυτόν.</w:t>
      </w:r>
      <w:r>
        <w:rPr>
          <w:rFonts w:ascii="Times New Roman" w:hAnsi="Times New Roman" w:cs="Times New Roman"/>
          <w:sz w:val="24"/>
          <w:szCs w:val="24"/>
        </w:rPr>
        <w:t xml:space="preserve"> </w:t>
      </w:r>
    </w:p>
    <w:p w:rsidR="00CC360F" w:rsidRDefault="00CC360F" w:rsidP="00C32987">
      <w:pPr>
        <w:spacing w:after="0" w:line="480" w:lineRule="auto"/>
        <w:jc w:val="both"/>
        <w:rPr>
          <w:rFonts w:ascii="Times New Roman" w:hAnsi="Times New Roman" w:cs="Times New Roman"/>
          <w:sz w:val="24"/>
          <w:szCs w:val="24"/>
        </w:rPr>
      </w:pPr>
    </w:p>
    <w:p w:rsidR="00CC360F" w:rsidRPr="00716CB8" w:rsidRDefault="00C94443" w:rsidP="00716CB8">
      <w:pPr>
        <w:spacing w:after="0" w:line="480" w:lineRule="auto"/>
        <w:jc w:val="center"/>
        <w:rPr>
          <w:rFonts w:ascii="Arial" w:hAnsi="Arial" w:cs="Arial"/>
          <w:b/>
          <w:sz w:val="24"/>
          <w:szCs w:val="24"/>
        </w:rPr>
      </w:pPr>
      <w:r w:rsidRPr="00716CB8">
        <w:rPr>
          <w:rFonts w:ascii="Arial" w:hAnsi="Arial" w:cs="Arial"/>
          <w:b/>
          <w:sz w:val="24"/>
          <w:szCs w:val="24"/>
        </w:rPr>
        <w:t>Συζήτηση - Συμπεράσματα της Μεταδιδακτορικής Έρευνας</w:t>
      </w:r>
    </w:p>
    <w:p w:rsidR="00044B17" w:rsidRPr="00044B17" w:rsidRDefault="00716CB8" w:rsidP="00716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l-GR"/>
        </w:rPr>
      </w:pPr>
      <w:r>
        <w:rPr>
          <w:rFonts w:ascii="Times New Roman" w:eastAsia="Times New Roman" w:hAnsi="Times New Roman" w:cs="Times New Roman"/>
          <w:color w:val="212121"/>
          <w:sz w:val="24"/>
          <w:szCs w:val="24"/>
          <w:lang w:eastAsia="el-GR"/>
        </w:rPr>
        <w:t xml:space="preserve">Η διερεύνηση της </w:t>
      </w:r>
      <w:r>
        <w:rPr>
          <w:rFonts w:ascii="Times New Roman" w:eastAsia="Times New Roman" w:hAnsi="Times New Roman" w:cs="Times New Roman"/>
          <w:color w:val="212121"/>
          <w:sz w:val="24"/>
          <w:szCs w:val="24"/>
          <w:lang w:val="en-US" w:eastAsia="el-GR"/>
        </w:rPr>
        <w:t>MRD</w:t>
      </w:r>
      <w:r w:rsidR="00C32987" w:rsidRPr="00716CB8">
        <w:rPr>
          <w:rFonts w:ascii="Times New Roman" w:eastAsia="Times New Roman" w:hAnsi="Times New Roman" w:cs="Times New Roman"/>
          <w:color w:val="212121"/>
          <w:sz w:val="24"/>
          <w:szCs w:val="24"/>
          <w:lang w:eastAsia="el-GR"/>
        </w:rPr>
        <w:t xml:space="preserve"> </w:t>
      </w:r>
      <w:r>
        <w:rPr>
          <w:rFonts w:ascii="Times New Roman" w:eastAsia="Times New Roman" w:hAnsi="Times New Roman" w:cs="Times New Roman"/>
          <w:color w:val="212121"/>
          <w:sz w:val="24"/>
          <w:szCs w:val="24"/>
          <w:lang w:eastAsia="el-GR"/>
        </w:rPr>
        <w:t>συνιστά μία εξέταση με</w:t>
      </w:r>
      <w:r w:rsidR="00C32987" w:rsidRPr="00716CB8">
        <w:rPr>
          <w:rFonts w:ascii="Times New Roman" w:eastAsia="Times New Roman" w:hAnsi="Times New Roman" w:cs="Times New Roman"/>
          <w:color w:val="212121"/>
          <w:sz w:val="24"/>
          <w:szCs w:val="24"/>
          <w:lang w:eastAsia="el-GR"/>
        </w:rPr>
        <w:t xml:space="preserve"> ιδιαίτερη κ</w:t>
      </w:r>
      <w:r>
        <w:rPr>
          <w:rFonts w:ascii="Times New Roman" w:eastAsia="Times New Roman" w:hAnsi="Times New Roman" w:cs="Times New Roman"/>
          <w:color w:val="212121"/>
          <w:sz w:val="24"/>
          <w:szCs w:val="24"/>
          <w:lang w:eastAsia="el-GR"/>
        </w:rPr>
        <w:t>λινική σημασία στο ΠΜ καθώς υπάρχουν αρκετές αναφορές που συσχετίζουν</w:t>
      </w:r>
      <w:r w:rsidR="00C32987" w:rsidRPr="00716CB8">
        <w:rPr>
          <w:rFonts w:ascii="Times New Roman" w:eastAsia="Times New Roman" w:hAnsi="Times New Roman" w:cs="Times New Roman"/>
          <w:color w:val="212121"/>
          <w:sz w:val="24"/>
          <w:szCs w:val="24"/>
          <w:lang w:eastAsia="el-GR"/>
        </w:rPr>
        <w:t xml:space="preserve"> </w:t>
      </w:r>
      <w:r>
        <w:rPr>
          <w:rFonts w:ascii="Times New Roman" w:eastAsia="Times New Roman" w:hAnsi="Times New Roman" w:cs="Times New Roman"/>
          <w:color w:val="212121"/>
          <w:sz w:val="24"/>
          <w:szCs w:val="24"/>
          <w:lang w:eastAsia="el-GR"/>
        </w:rPr>
        <w:t xml:space="preserve">την παρουσία της </w:t>
      </w:r>
      <w:r>
        <w:rPr>
          <w:rFonts w:ascii="Times New Roman" w:eastAsia="Times New Roman" w:hAnsi="Times New Roman" w:cs="Times New Roman"/>
          <w:color w:val="212121"/>
          <w:sz w:val="24"/>
          <w:szCs w:val="24"/>
          <w:lang w:val="en-US" w:eastAsia="el-GR"/>
        </w:rPr>
        <w:t>MRD</w:t>
      </w:r>
      <w:r>
        <w:rPr>
          <w:rFonts w:ascii="Times New Roman" w:eastAsia="Times New Roman" w:hAnsi="Times New Roman" w:cs="Times New Roman"/>
          <w:color w:val="212121"/>
          <w:sz w:val="24"/>
          <w:szCs w:val="24"/>
          <w:lang w:eastAsia="el-GR"/>
        </w:rPr>
        <w:t xml:space="preserve"> </w:t>
      </w:r>
      <w:r w:rsidR="00C32987" w:rsidRPr="00716CB8">
        <w:rPr>
          <w:rFonts w:ascii="Times New Roman" w:eastAsia="Times New Roman" w:hAnsi="Times New Roman" w:cs="Times New Roman"/>
          <w:color w:val="212121"/>
          <w:sz w:val="24"/>
          <w:szCs w:val="24"/>
          <w:lang w:eastAsia="el-GR"/>
        </w:rPr>
        <w:t>με πρώιμες υποτροπές των ασθενών και μικρότερη ολική επιβίωση.</w:t>
      </w:r>
      <w:r>
        <w:rPr>
          <w:rFonts w:ascii="Times New Roman" w:eastAsia="Times New Roman" w:hAnsi="Times New Roman" w:cs="Times New Roman"/>
          <w:color w:val="212121"/>
          <w:sz w:val="24"/>
          <w:szCs w:val="24"/>
          <w:vertAlign w:val="superscript"/>
          <w:lang w:eastAsia="el-GR"/>
        </w:rPr>
        <w:t>18-28</w:t>
      </w:r>
      <w:r w:rsidR="00C32987" w:rsidRPr="00716CB8">
        <w:rPr>
          <w:rFonts w:ascii="Times New Roman" w:eastAsia="Times New Roman" w:hAnsi="Times New Roman" w:cs="Times New Roman"/>
          <w:color w:val="212121"/>
          <w:sz w:val="24"/>
          <w:szCs w:val="24"/>
          <w:lang w:eastAsia="el-GR"/>
        </w:rPr>
        <w:t xml:space="preserve">  Επιπρόσθετα, ο</w:t>
      </w:r>
      <w:r w:rsidR="00044B17">
        <w:rPr>
          <w:rFonts w:ascii="Times New Roman" w:eastAsia="Times New Roman" w:hAnsi="Times New Roman" w:cs="Times New Roman"/>
          <w:color w:val="212121"/>
          <w:sz w:val="24"/>
          <w:szCs w:val="24"/>
          <w:lang w:eastAsia="el-GR"/>
        </w:rPr>
        <w:t xml:space="preserve"> ποσοτικός προσδιορισμός της </w:t>
      </w:r>
      <w:r w:rsidR="00044B17">
        <w:rPr>
          <w:rFonts w:ascii="Times New Roman" w:eastAsia="Times New Roman" w:hAnsi="Times New Roman" w:cs="Times New Roman"/>
          <w:color w:val="212121"/>
          <w:sz w:val="24"/>
          <w:szCs w:val="24"/>
          <w:lang w:val="en-US" w:eastAsia="el-GR"/>
        </w:rPr>
        <w:t>MRD</w:t>
      </w:r>
      <w:r w:rsidR="00C32987" w:rsidRPr="00716CB8">
        <w:rPr>
          <w:rFonts w:ascii="Times New Roman" w:eastAsia="Times New Roman" w:hAnsi="Times New Roman" w:cs="Times New Roman"/>
          <w:color w:val="212121"/>
          <w:sz w:val="24"/>
          <w:szCs w:val="24"/>
          <w:lang w:eastAsia="el-GR"/>
        </w:rPr>
        <w:t xml:space="preserve"> φαίνεται πως έχει σημαντική αξία, καθώς έχουν δημοσιευθεί μελέτες που δείχνουν ότι η αύξηση του κλωνικού φορτίου σε δεκαδική λογαριθμική κλίμακα, επιφέρει, ανεξάρτητα από τις άλλες κλινικές παραμέτρους, ένα μεγαλύτερο κίνδυνο για εξέλιξη της νόσου, συντελώντας με αυτόν τον τρόπο στην κατηγοριοποίηση των ασθενών σε διακριτές ομάδες κινδύνου.</w:t>
      </w:r>
      <w:r w:rsidR="00044B17">
        <w:rPr>
          <w:rFonts w:ascii="Times New Roman" w:eastAsia="Times New Roman" w:hAnsi="Times New Roman" w:cs="Times New Roman"/>
          <w:color w:val="212121"/>
          <w:sz w:val="24"/>
          <w:szCs w:val="24"/>
          <w:vertAlign w:val="superscript"/>
          <w:lang w:eastAsia="el-GR"/>
        </w:rPr>
        <w:t>22,23</w:t>
      </w:r>
      <w:r w:rsidR="00C32987" w:rsidRPr="00716CB8">
        <w:rPr>
          <w:rFonts w:ascii="Times New Roman" w:eastAsia="Times New Roman" w:hAnsi="Times New Roman" w:cs="Times New Roman"/>
          <w:color w:val="212121"/>
          <w:sz w:val="24"/>
          <w:szCs w:val="24"/>
          <w:lang w:eastAsia="el-GR"/>
        </w:rPr>
        <w:t xml:space="preserve"> Οι παρατηρήσεις αυτές καθιστούν αναγκαία την εφαρμογή πολύ ευαίσθητων και αξιόπιστων ποσοτικών τεχνικών με δυνατότητα ανίχνευσης των εξαιρετικά μικρών υπολειμματικών κλωνικών κυττάρων. Σε αυτή τη βάση, </w:t>
      </w:r>
      <w:r w:rsidR="00044B17">
        <w:rPr>
          <w:rFonts w:ascii="Times New Roman" w:eastAsia="Times New Roman" w:hAnsi="Times New Roman" w:cs="Times New Roman"/>
          <w:color w:val="212121"/>
          <w:sz w:val="24"/>
          <w:szCs w:val="24"/>
          <w:lang w:eastAsia="el-GR"/>
        </w:rPr>
        <w:t>ο βασικός σκοπός της παρούσας έρευνας ήταν η ανάπτυξη μίας πολύ ευαίσθητης</w:t>
      </w:r>
      <w:r w:rsidR="00044B17" w:rsidRPr="00044B17">
        <w:rPr>
          <w:rFonts w:ascii="Times New Roman" w:eastAsia="Times New Roman" w:hAnsi="Times New Roman" w:cs="Times New Roman"/>
          <w:color w:val="212121"/>
          <w:sz w:val="24"/>
          <w:szCs w:val="24"/>
          <w:lang w:eastAsia="el-GR"/>
        </w:rPr>
        <w:t xml:space="preserve"> </w:t>
      </w:r>
      <w:r w:rsidR="00044B17">
        <w:rPr>
          <w:rFonts w:ascii="Times New Roman" w:eastAsia="Times New Roman" w:hAnsi="Times New Roman" w:cs="Times New Roman"/>
          <w:color w:val="212121"/>
          <w:sz w:val="24"/>
          <w:szCs w:val="24"/>
          <w:lang w:eastAsia="el-GR"/>
        </w:rPr>
        <w:t xml:space="preserve">και αξιόπιστης τεχνικής </w:t>
      </w:r>
      <w:r w:rsidR="00044B17">
        <w:rPr>
          <w:rFonts w:ascii="Times New Roman" w:eastAsia="Times New Roman" w:hAnsi="Times New Roman" w:cs="Times New Roman"/>
          <w:color w:val="212121"/>
          <w:sz w:val="24"/>
          <w:szCs w:val="24"/>
          <w:lang w:eastAsia="el-GR"/>
        </w:rPr>
        <w:lastRenderedPageBreak/>
        <w:t>για την ανίχνευση της MRD</w:t>
      </w:r>
      <w:r w:rsidR="00044B17" w:rsidRPr="00044B17">
        <w:rPr>
          <w:rFonts w:ascii="Times New Roman" w:eastAsia="Times New Roman" w:hAnsi="Times New Roman" w:cs="Times New Roman"/>
          <w:color w:val="212121"/>
          <w:sz w:val="24"/>
          <w:szCs w:val="24"/>
          <w:lang w:eastAsia="el-GR"/>
        </w:rPr>
        <w:t>.</w:t>
      </w:r>
      <w:r w:rsidR="00044B17">
        <w:rPr>
          <w:rFonts w:ascii="Times New Roman" w:eastAsia="Times New Roman" w:hAnsi="Times New Roman" w:cs="Times New Roman"/>
          <w:color w:val="212121"/>
          <w:sz w:val="24"/>
          <w:szCs w:val="24"/>
          <w:lang w:eastAsia="el-GR"/>
        </w:rPr>
        <w:t xml:space="preserve"> Έτσι, ακολουθώντας τα πρωτόκολλα και τις  κατευθυντήριες οδηγίες του </w:t>
      </w:r>
      <w:r w:rsidR="00044B17">
        <w:rPr>
          <w:rFonts w:ascii="Times New Roman" w:eastAsia="Times New Roman" w:hAnsi="Times New Roman" w:cs="Times New Roman"/>
          <w:color w:val="212121"/>
          <w:sz w:val="24"/>
          <w:szCs w:val="24"/>
          <w:lang w:val="en-US" w:eastAsia="el-GR"/>
        </w:rPr>
        <w:t>Euroflow</w:t>
      </w:r>
      <w:r w:rsidR="00044B17" w:rsidRPr="00044B17">
        <w:rPr>
          <w:rFonts w:ascii="Times New Roman" w:eastAsia="Times New Roman" w:hAnsi="Times New Roman" w:cs="Times New Roman"/>
          <w:color w:val="212121"/>
          <w:sz w:val="24"/>
          <w:szCs w:val="24"/>
          <w:lang w:eastAsia="el-GR"/>
        </w:rPr>
        <w:t xml:space="preserve">, </w:t>
      </w:r>
      <w:r w:rsidR="00044B17">
        <w:rPr>
          <w:rFonts w:ascii="Times New Roman" w:eastAsia="Times New Roman" w:hAnsi="Times New Roman" w:cs="Times New Roman"/>
          <w:color w:val="212121"/>
          <w:sz w:val="24"/>
          <w:szCs w:val="24"/>
          <w:lang w:eastAsia="el-GR"/>
        </w:rPr>
        <w:t xml:space="preserve">μπορέσαμε και αναπτύξαμε στο εργαστήριό μας τεχνική Πολυπαραμετρικής Κυτταρομετρίας Ροής που επιτρέπει την ανίχνευση των κλωνικών κυττάρων </w:t>
      </w:r>
      <w:r w:rsidR="00044B17" w:rsidRPr="00044B17">
        <w:rPr>
          <w:rFonts w:ascii="Times New Roman" w:eastAsia="Times New Roman" w:hAnsi="Times New Roman" w:cs="Times New Roman"/>
          <w:b/>
          <w:color w:val="212121"/>
          <w:sz w:val="24"/>
          <w:szCs w:val="24"/>
          <w:lang w:eastAsia="el-GR"/>
        </w:rPr>
        <w:t>σε επίπεδα ευαισθησίας που προσεγγίζουν το 10</w:t>
      </w:r>
      <w:r w:rsidR="00044B17" w:rsidRPr="00044B17">
        <w:rPr>
          <w:rFonts w:ascii="Times New Roman" w:eastAsia="Times New Roman" w:hAnsi="Times New Roman" w:cs="Times New Roman"/>
          <w:b/>
          <w:color w:val="212121"/>
          <w:sz w:val="24"/>
          <w:szCs w:val="24"/>
          <w:vertAlign w:val="superscript"/>
          <w:lang w:eastAsia="el-GR"/>
        </w:rPr>
        <w:t>-6</w:t>
      </w:r>
      <w:r w:rsidR="00044B17">
        <w:rPr>
          <w:rFonts w:ascii="Times New Roman" w:eastAsia="Times New Roman" w:hAnsi="Times New Roman" w:cs="Times New Roman"/>
          <w:color w:val="212121"/>
          <w:sz w:val="24"/>
          <w:szCs w:val="24"/>
          <w:lang w:eastAsia="el-GR"/>
        </w:rPr>
        <w:t xml:space="preserve">. Επιπρόσθετα, από τη συνεργασία μας με το εργαστήριο του Πανεπιστημίου της </w:t>
      </w:r>
      <w:r w:rsidR="00044B17">
        <w:rPr>
          <w:rFonts w:ascii="Times New Roman" w:eastAsia="Times New Roman" w:hAnsi="Times New Roman" w:cs="Times New Roman"/>
          <w:color w:val="212121"/>
          <w:sz w:val="24"/>
          <w:szCs w:val="24"/>
          <w:lang w:val="en-US" w:eastAsia="el-GR"/>
        </w:rPr>
        <w:t>Navarra</w:t>
      </w:r>
      <w:r w:rsidR="00044B17" w:rsidRPr="00044B17">
        <w:rPr>
          <w:rFonts w:ascii="Times New Roman" w:eastAsia="Times New Roman" w:hAnsi="Times New Roman" w:cs="Times New Roman"/>
          <w:color w:val="212121"/>
          <w:sz w:val="24"/>
          <w:szCs w:val="24"/>
          <w:lang w:eastAsia="el-GR"/>
        </w:rPr>
        <w:t xml:space="preserve"> </w:t>
      </w:r>
      <w:r w:rsidR="00044B17">
        <w:rPr>
          <w:rFonts w:ascii="Times New Roman" w:eastAsia="Times New Roman" w:hAnsi="Times New Roman" w:cs="Times New Roman"/>
          <w:color w:val="212121"/>
          <w:sz w:val="24"/>
          <w:szCs w:val="24"/>
          <w:lang w:eastAsia="el-GR"/>
        </w:rPr>
        <w:t xml:space="preserve">αποδείξαμε την αναπαραγωγιμότητα των αποτελεσμάτων μας τόσο σε ποιοτικό όσο και σε ποσοτικό επίπεδο.  </w:t>
      </w:r>
    </w:p>
    <w:p w:rsidR="00EA2190" w:rsidRPr="00AF6CF6" w:rsidRDefault="00C32987" w:rsidP="001F5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212121"/>
          <w:sz w:val="24"/>
          <w:szCs w:val="24"/>
          <w:shd w:val="clear" w:color="auto" w:fill="FFFFFF"/>
          <w:lang w:eastAsia="el-GR"/>
        </w:rPr>
      </w:pPr>
      <w:r w:rsidRPr="00B90356">
        <w:rPr>
          <w:rFonts w:ascii="Times New Roman" w:eastAsia="Times New Roman" w:hAnsi="Times New Roman" w:cs="Times New Roman"/>
          <w:color w:val="212121"/>
          <w:sz w:val="24"/>
          <w:szCs w:val="24"/>
          <w:shd w:val="clear" w:color="auto" w:fill="FFFFFF"/>
          <w:lang w:eastAsia="el-GR"/>
        </w:rPr>
        <w:t xml:space="preserve">Τα αποτελέσματά μας έδειξαν ότι περισσότεροι από τους μισούς ασθενείς με ΠΜ σε παρατεταμένη πλήρη ύφεση ήταν θετικοί στην παρουσία </w:t>
      </w:r>
      <w:r w:rsidR="00B90356">
        <w:rPr>
          <w:rFonts w:ascii="Times New Roman" w:eastAsia="Times New Roman" w:hAnsi="Times New Roman" w:cs="Times New Roman"/>
          <w:color w:val="212121"/>
          <w:sz w:val="24"/>
          <w:szCs w:val="24"/>
          <w:shd w:val="clear" w:color="auto" w:fill="FFFFFF"/>
          <w:lang w:eastAsia="el-GR"/>
        </w:rPr>
        <w:t>Μ</w:t>
      </w:r>
      <w:r w:rsidR="00B90356">
        <w:rPr>
          <w:rFonts w:ascii="Times New Roman" w:eastAsia="Times New Roman" w:hAnsi="Times New Roman" w:cs="Times New Roman"/>
          <w:color w:val="212121"/>
          <w:sz w:val="24"/>
          <w:szCs w:val="24"/>
          <w:shd w:val="clear" w:color="auto" w:fill="FFFFFF"/>
          <w:lang w:val="en-US" w:eastAsia="el-GR"/>
        </w:rPr>
        <w:t>RD</w:t>
      </w:r>
      <w:r w:rsidRPr="00B90356">
        <w:rPr>
          <w:rFonts w:ascii="Times New Roman" w:eastAsia="Times New Roman" w:hAnsi="Times New Roman" w:cs="Times New Roman"/>
          <w:color w:val="212121"/>
          <w:sz w:val="24"/>
          <w:szCs w:val="24"/>
          <w:shd w:val="clear" w:color="auto" w:fill="FFFFFF"/>
          <w:lang w:eastAsia="el-GR"/>
        </w:rPr>
        <w:t xml:space="preserve">. Σε πρώτη ανάγνωση τα ευρήματά μας φαίνεται πως έρχονται σε αντίθεση με τις μέχρι σήμερα δημοσιευμένες παρατηρήσεις, αφού η μετα-ανάλυση των πιο σημαντικών μελετών </w:t>
      </w:r>
      <w:r w:rsidR="00B90356">
        <w:rPr>
          <w:rFonts w:ascii="Times New Roman" w:eastAsia="Times New Roman" w:hAnsi="Times New Roman" w:cs="Times New Roman"/>
          <w:color w:val="212121"/>
          <w:sz w:val="24"/>
          <w:szCs w:val="24"/>
          <w:shd w:val="clear" w:color="auto" w:fill="FFFFFF"/>
          <w:lang w:eastAsia="el-GR"/>
        </w:rPr>
        <w:t>στο πεδίο</w:t>
      </w:r>
      <w:r w:rsidRPr="00B90356">
        <w:rPr>
          <w:rFonts w:ascii="Times New Roman" w:eastAsia="Times New Roman" w:hAnsi="Times New Roman" w:cs="Times New Roman"/>
          <w:color w:val="212121"/>
          <w:sz w:val="24"/>
          <w:szCs w:val="24"/>
          <w:shd w:val="clear" w:color="auto" w:fill="FFFFFF"/>
          <w:lang w:eastAsia="el-GR"/>
        </w:rPr>
        <w:t xml:space="preserve"> έδειξε ένα συνολικό ποσοστό της τάξης του 32% από τους ασθενείς σε πλήρη ύφεση να εμφα</w:t>
      </w:r>
      <w:r w:rsidR="00B90356">
        <w:rPr>
          <w:rFonts w:ascii="Times New Roman" w:eastAsia="Times New Roman" w:hAnsi="Times New Roman" w:cs="Times New Roman"/>
          <w:color w:val="212121"/>
          <w:sz w:val="24"/>
          <w:szCs w:val="24"/>
          <w:shd w:val="clear" w:color="auto" w:fill="FFFFFF"/>
          <w:lang w:eastAsia="el-GR"/>
        </w:rPr>
        <w:t xml:space="preserve">νίζεται θετικό στην παρουσία </w:t>
      </w:r>
      <w:r w:rsidR="00B90356">
        <w:rPr>
          <w:rFonts w:ascii="Times New Roman" w:eastAsia="Times New Roman" w:hAnsi="Times New Roman" w:cs="Times New Roman"/>
          <w:color w:val="212121"/>
          <w:sz w:val="24"/>
          <w:szCs w:val="24"/>
          <w:shd w:val="clear" w:color="auto" w:fill="FFFFFF"/>
          <w:lang w:val="en-US" w:eastAsia="el-GR"/>
        </w:rPr>
        <w:t>MRD</w:t>
      </w:r>
      <w:r w:rsidR="00B90356" w:rsidRPr="00B90356">
        <w:rPr>
          <w:rFonts w:ascii="Times New Roman" w:eastAsia="Times New Roman" w:hAnsi="Times New Roman" w:cs="Times New Roman"/>
          <w:color w:val="212121"/>
          <w:sz w:val="24"/>
          <w:szCs w:val="24"/>
          <w:shd w:val="clear" w:color="auto" w:fill="FFFFFF"/>
          <w:lang w:eastAsia="el-GR"/>
        </w:rPr>
        <w:t>.</w:t>
      </w:r>
      <w:r w:rsidR="001F5CEF">
        <w:rPr>
          <w:rFonts w:ascii="Times New Roman" w:eastAsia="Times New Roman" w:hAnsi="Times New Roman" w:cs="Times New Roman"/>
          <w:color w:val="212121"/>
          <w:sz w:val="24"/>
          <w:szCs w:val="24"/>
          <w:shd w:val="clear" w:color="auto" w:fill="FFFFFF"/>
          <w:vertAlign w:val="superscript"/>
          <w:lang w:eastAsia="el-GR"/>
        </w:rPr>
        <w:t>18,23-25,3</w:t>
      </w:r>
      <w:r w:rsidR="001F5CEF" w:rsidRPr="001F5CEF">
        <w:rPr>
          <w:rFonts w:ascii="Times New Roman" w:eastAsia="Times New Roman" w:hAnsi="Times New Roman" w:cs="Times New Roman"/>
          <w:color w:val="212121"/>
          <w:sz w:val="24"/>
          <w:szCs w:val="24"/>
          <w:shd w:val="clear" w:color="auto" w:fill="FFFFFF"/>
          <w:vertAlign w:val="superscript"/>
          <w:lang w:eastAsia="el-GR"/>
        </w:rPr>
        <w:t>2-37</w:t>
      </w:r>
      <w:r w:rsidRPr="00B90356">
        <w:rPr>
          <w:rFonts w:ascii="Times New Roman" w:eastAsia="Times New Roman" w:hAnsi="Times New Roman" w:cs="Times New Roman"/>
          <w:color w:val="212121"/>
          <w:sz w:val="24"/>
          <w:szCs w:val="24"/>
          <w:shd w:val="clear" w:color="auto" w:fill="FFFFFF"/>
          <w:lang w:eastAsia="el-GR"/>
        </w:rPr>
        <w:t xml:space="preserve"> </w:t>
      </w:r>
      <w:r w:rsidRPr="00B90356">
        <w:rPr>
          <w:rFonts w:ascii="Times New Roman" w:eastAsia="Times New Roman" w:hAnsi="Times New Roman" w:cs="Times New Roman"/>
          <w:sz w:val="24"/>
          <w:szCs w:val="24"/>
          <w:lang w:eastAsia="el-GR"/>
        </w:rPr>
        <w:t xml:space="preserve">Επιπλέον, σε μία πρόσφατη μελέτη, ο </w:t>
      </w:r>
      <w:r w:rsidRPr="00B90356">
        <w:rPr>
          <w:rFonts w:ascii="Times New Roman" w:eastAsia="Times New Roman" w:hAnsi="Times New Roman" w:cs="Times New Roman"/>
          <w:color w:val="212121"/>
          <w:sz w:val="24"/>
          <w:szCs w:val="24"/>
          <w:shd w:val="clear" w:color="auto" w:fill="FFFFFF"/>
          <w:lang w:eastAsia="el-GR"/>
        </w:rPr>
        <w:t xml:space="preserve">Barlogie και οι συνεργάτες του αξιολόγησαν την </w:t>
      </w:r>
      <w:r w:rsidR="001F5CEF">
        <w:rPr>
          <w:rFonts w:ascii="Times New Roman" w:eastAsia="Times New Roman" w:hAnsi="Times New Roman" w:cs="Times New Roman"/>
          <w:color w:val="212121"/>
          <w:sz w:val="24"/>
          <w:szCs w:val="24"/>
          <w:shd w:val="clear" w:color="auto" w:fill="FFFFFF"/>
          <w:lang w:eastAsia="el-GR"/>
        </w:rPr>
        <w:t xml:space="preserve">παρουσία της </w:t>
      </w:r>
      <w:r w:rsidR="001F5CEF">
        <w:rPr>
          <w:rFonts w:ascii="Times New Roman" w:eastAsia="Times New Roman" w:hAnsi="Times New Roman" w:cs="Times New Roman"/>
          <w:color w:val="212121"/>
          <w:sz w:val="24"/>
          <w:szCs w:val="24"/>
          <w:shd w:val="clear" w:color="auto" w:fill="FFFFFF"/>
          <w:lang w:val="en-US" w:eastAsia="el-GR"/>
        </w:rPr>
        <w:t>MRD</w:t>
      </w:r>
      <w:r w:rsidRPr="00B90356">
        <w:rPr>
          <w:rFonts w:ascii="Times New Roman" w:eastAsia="Times New Roman" w:hAnsi="Times New Roman" w:cs="Times New Roman"/>
          <w:color w:val="212121"/>
          <w:sz w:val="24"/>
          <w:szCs w:val="24"/>
          <w:shd w:val="clear" w:color="auto" w:fill="FFFFFF"/>
          <w:lang w:eastAsia="el-GR"/>
        </w:rPr>
        <w:t xml:space="preserve"> σε μακροχρόνια επιζώντες ασθενείς με ΠΜ χωρίς πρόοδο νόσου και ανέφεραν ότι μόλις 4/68 (6%) των ασθενών βρέθηκαν </w:t>
      </w:r>
      <w:r w:rsidR="001F5CEF">
        <w:rPr>
          <w:rFonts w:ascii="Times New Roman" w:eastAsia="Times New Roman" w:hAnsi="Times New Roman" w:cs="Times New Roman"/>
          <w:color w:val="212121"/>
          <w:sz w:val="24"/>
          <w:szCs w:val="24"/>
          <w:shd w:val="clear" w:color="auto" w:fill="FFFFFF"/>
          <w:lang w:val="en-US" w:eastAsia="el-GR"/>
        </w:rPr>
        <w:t>MRD</w:t>
      </w:r>
      <w:r w:rsidR="001F5CEF" w:rsidRPr="001F5CEF">
        <w:rPr>
          <w:rFonts w:ascii="Times New Roman" w:eastAsia="Times New Roman" w:hAnsi="Times New Roman" w:cs="Times New Roman"/>
          <w:color w:val="212121"/>
          <w:sz w:val="24"/>
          <w:szCs w:val="24"/>
          <w:shd w:val="clear" w:color="auto" w:fill="FFFFFF"/>
          <w:lang w:eastAsia="el-GR"/>
        </w:rPr>
        <w:t>+</w:t>
      </w:r>
      <w:r w:rsidRPr="00B90356">
        <w:rPr>
          <w:rFonts w:ascii="Times New Roman" w:eastAsia="Times New Roman" w:hAnsi="Times New Roman" w:cs="Times New Roman"/>
          <w:color w:val="212121"/>
          <w:sz w:val="24"/>
          <w:szCs w:val="24"/>
          <w:shd w:val="clear" w:color="auto" w:fill="FFFFFF"/>
          <w:lang w:eastAsia="el-GR"/>
        </w:rPr>
        <w:t>.</w:t>
      </w:r>
      <w:r w:rsidR="001F5CEF">
        <w:rPr>
          <w:rFonts w:ascii="Times New Roman" w:eastAsia="Times New Roman" w:hAnsi="Times New Roman" w:cs="Times New Roman"/>
          <w:color w:val="212121"/>
          <w:sz w:val="24"/>
          <w:szCs w:val="24"/>
          <w:shd w:val="clear" w:color="auto" w:fill="FFFFFF"/>
          <w:vertAlign w:val="superscript"/>
          <w:lang w:eastAsia="el-GR"/>
        </w:rPr>
        <w:t>3</w:t>
      </w:r>
      <w:r w:rsidR="001F5CEF" w:rsidRPr="001F5CEF">
        <w:rPr>
          <w:rFonts w:ascii="Times New Roman" w:eastAsia="Times New Roman" w:hAnsi="Times New Roman" w:cs="Times New Roman"/>
          <w:color w:val="212121"/>
          <w:sz w:val="24"/>
          <w:szCs w:val="24"/>
          <w:shd w:val="clear" w:color="auto" w:fill="FFFFFF"/>
          <w:vertAlign w:val="superscript"/>
          <w:lang w:eastAsia="el-GR"/>
        </w:rPr>
        <w:t>8</w:t>
      </w:r>
      <w:r w:rsidR="001F5CEF">
        <w:rPr>
          <w:rFonts w:ascii="Times New Roman" w:eastAsia="Times New Roman" w:hAnsi="Times New Roman" w:cs="Times New Roman"/>
          <w:color w:val="212121"/>
          <w:sz w:val="24"/>
          <w:szCs w:val="24"/>
          <w:shd w:val="clear" w:color="auto" w:fill="FFFFFF"/>
          <w:lang w:eastAsia="el-GR"/>
        </w:rPr>
        <w:t xml:space="preserve"> Ωστόσο, η αξιολόγηση της </w:t>
      </w:r>
      <w:r w:rsidR="001F5CEF">
        <w:rPr>
          <w:rFonts w:ascii="Times New Roman" w:eastAsia="Times New Roman" w:hAnsi="Times New Roman" w:cs="Times New Roman"/>
          <w:color w:val="212121"/>
          <w:sz w:val="24"/>
          <w:szCs w:val="24"/>
          <w:shd w:val="clear" w:color="auto" w:fill="FFFFFF"/>
          <w:lang w:val="en-US" w:eastAsia="el-GR"/>
        </w:rPr>
        <w:t>MRD</w:t>
      </w:r>
      <w:r w:rsidRPr="00B90356">
        <w:rPr>
          <w:rFonts w:ascii="Times New Roman" w:eastAsia="Times New Roman" w:hAnsi="Times New Roman" w:cs="Times New Roman"/>
          <w:color w:val="212121"/>
          <w:sz w:val="24"/>
          <w:szCs w:val="24"/>
          <w:shd w:val="clear" w:color="auto" w:fill="FFFFFF"/>
          <w:lang w:eastAsia="el-GR"/>
        </w:rPr>
        <w:t xml:space="preserve"> σε όλες αυτές τις μελέτες πραγματοποιήθηκε με τεχνικές που επιτρέπουν την ανίχνευση του κλώνου σε επίπεδα ευαισθησίας μεταξύ 10</w:t>
      </w:r>
      <w:r w:rsidRPr="00B90356">
        <w:rPr>
          <w:rFonts w:ascii="Times New Roman" w:eastAsia="Times New Roman" w:hAnsi="Times New Roman" w:cs="Times New Roman"/>
          <w:color w:val="212121"/>
          <w:sz w:val="24"/>
          <w:szCs w:val="24"/>
          <w:shd w:val="clear" w:color="auto" w:fill="FFFFFF"/>
          <w:vertAlign w:val="superscript"/>
          <w:lang w:eastAsia="el-GR"/>
        </w:rPr>
        <w:t xml:space="preserve">-4 </w:t>
      </w:r>
      <w:r w:rsidRPr="00B90356">
        <w:rPr>
          <w:rFonts w:ascii="Times New Roman" w:eastAsia="Times New Roman" w:hAnsi="Times New Roman" w:cs="Times New Roman"/>
          <w:color w:val="212121"/>
          <w:sz w:val="24"/>
          <w:szCs w:val="24"/>
          <w:shd w:val="clear" w:color="auto" w:fill="FFFFFF"/>
          <w:lang w:eastAsia="el-GR"/>
        </w:rPr>
        <w:t>και 10</w:t>
      </w:r>
      <w:r w:rsidRPr="00B90356">
        <w:rPr>
          <w:rFonts w:ascii="Times New Roman" w:eastAsia="Times New Roman" w:hAnsi="Times New Roman" w:cs="Times New Roman"/>
          <w:color w:val="212121"/>
          <w:sz w:val="24"/>
          <w:szCs w:val="24"/>
          <w:shd w:val="clear" w:color="auto" w:fill="FFFFFF"/>
          <w:vertAlign w:val="superscript"/>
          <w:lang w:eastAsia="el-GR"/>
        </w:rPr>
        <w:t>-5</w:t>
      </w:r>
      <w:r w:rsidRPr="00B90356">
        <w:rPr>
          <w:rFonts w:ascii="Times New Roman" w:eastAsia="Times New Roman" w:hAnsi="Times New Roman" w:cs="Times New Roman"/>
          <w:color w:val="212121"/>
          <w:sz w:val="24"/>
          <w:szCs w:val="24"/>
          <w:shd w:val="clear" w:color="auto" w:fill="FFFFFF"/>
          <w:lang w:eastAsia="el-GR"/>
        </w:rPr>
        <w:t xml:space="preserve"> (στην πλειοψηφία τους ≥10</w:t>
      </w:r>
      <w:r w:rsidRPr="00B90356">
        <w:rPr>
          <w:rFonts w:ascii="Times New Roman" w:eastAsia="Times New Roman" w:hAnsi="Times New Roman" w:cs="Times New Roman"/>
          <w:color w:val="212121"/>
          <w:sz w:val="24"/>
          <w:szCs w:val="24"/>
          <w:shd w:val="clear" w:color="auto" w:fill="FFFFFF"/>
          <w:vertAlign w:val="superscript"/>
          <w:lang w:eastAsia="el-GR"/>
        </w:rPr>
        <w:t>-4</w:t>
      </w:r>
      <w:r w:rsidRPr="00B90356">
        <w:rPr>
          <w:rFonts w:ascii="Times New Roman" w:eastAsia="Times New Roman" w:hAnsi="Times New Roman" w:cs="Times New Roman"/>
          <w:color w:val="212121"/>
          <w:sz w:val="24"/>
          <w:szCs w:val="24"/>
          <w:shd w:val="clear" w:color="auto" w:fill="FFFFFF"/>
          <w:lang w:eastAsia="el-GR"/>
        </w:rPr>
        <w:t xml:space="preserve">), </w:t>
      </w:r>
      <w:r w:rsidRPr="007D6D6B">
        <w:rPr>
          <w:rFonts w:ascii="Times New Roman" w:eastAsia="Times New Roman" w:hAnsi="Times New Roman" w:cs="Times New Roman"/>
          <w:b/>
          <w:color w:val="212121"/>
          <w:sz w:val="24"/>
          <w:szCs w:val="24"/>
          <w:shd w:val="clear" w:color="auto" w:fill="FFFFFF"/>
          <w:lang w:eastAsia="el-GR"/>
        </w:rPr>
        <w:t>υποεκτιμώντας έτσι το ποσοστό των</w:t>
      </w:r>
      <w:r w:rsidR="001F5CEF" w:rsidRPr="007D6D6B">
        <w:rPr>
          <w:rFonts w:ascii="Times New Roman" w:eastAsia="Times New Roman" w:hAnsi="Times New Roman" w:cs="Times New Roman"/>
          <w:b/>
          <w:color w:val="212121"/>
          <w:sz w:val="24"/>
          <w:szCs w:val="24"/>
          <w:shd w:val="clear" w:color="auto" w:fill="FFFFFF"/>
          <w:lang w:eastAsia="el-GR"/>
        </w:rPr>
        <w:t xml:space="preserve"> </w:t>
      </w:r>
      <w:r w:rsidR="001F5CEF" w:rsidRPr="007D6D6B">
        <w:rPr>
          <w:rFonts w:ascii="Times New Roman" w:eastAsia="Times New Roman" w:hAnsi="Times New Roman" w:cs="Times New Roman"/>
          <w:b/>
          <w:color w:val="212121"/>
          <w:sz w:val="24"/>
          <w:szCs w:val="24"/>
          <w:shd w:val="clear" w:color="auto" w:fill="FFFFFF"/>
          <w:lang w:val="en-US" w:eastAsia="el-GR"/>
        </w:rPr>
        <w:t>MRD</w:t>
      </w:r>
      <w:r w:rsidR="001F5CEF" w:rsidRPr="007D6D6B">
        <w:rPr>
          <w:rFonts w:ascii="Times New Roman" w:eastAsia="Times New Roman" w:hAnsi="Times New Roman" w:cs="Times New Roman"/>
          <w:b/>
          <w:color w:val="212121"/>
          <w:sz w:val="24"/>
          <w:szCs w:val="24"/>
          <w:shd w:val="clear" w:color="auto" w:fill="FFFFFF"/>
          <w:lang w:eastAsia="el-GR"/>
        </w:rPr>
        <w:t>+</w:t>
      </w:r>
      <w:r w:rsidRPr="007D6D6B">
        <w:rPr>
          <w:rFonts w:ascii="Times New Roman" w:eastAsia="Times New Roman" w:hAnsi="Times New Roman" w:cs="Times New Roman"/>
          <w:b/>
          <w:color w:val="212121"/>
          <w:sz w:val="24"/>
          <w:szCs w:val="24"/>
          <w:shd w:val="clear" w:color="auto" w:fill="FFFFFF"/>
          <w:lang w:eastAsia="el-GR"/>
        </w:rPr>
        <w:t xml:space="preserve"> περιστατικών</w:t>
      </w:r>
      <w:r w:rsidRPr="00B90356">
        <w:rPr>
          <w:rFonts w:ascii="Times New Roman" w:eastAsia="Times New Roman" w:hAnsi="Times New Roman" w:cs="Times New Roman"/>
          <w:color w:val="212121"/>
          <w:sz w:val="24"/>
          <w:szCs w:val="24"/>
          <w:shd w:val="clear" w:color="auto" w:fill="FFFFFF"/>
          <w:lang w:eastAsia="el-GR"/>
        </w:rPr>
        <w:t xml:space="preserve"> αφού δεν συμπεριέλαβαν τις περιπτώσεις με πολύ χαμηλό φορτίο νόσου. Προς υποστήριξη αυτού, </w:t>
      </w:r>
      <w:r w:rsidR="00EA2190">
        <w:rPr>
          <w:rFonts w:ascii="Times New Roman" w:eastAsia="Times New Roman" w:hAnsi="Times New Roman" w:cs="Times New Roman"/>
          <w:color w:val="212121"/>
          <w:sz w:val="24"/>
          <w:szCs w:val="24"/>
          <w:shd w:val="clear" w:color="auto" w:fill="FFFFFF"/>
          <w:lang w:eastAsia="el-GR"/>
        </w:rPr>
        <w:t xml:space="preserve">στην πλειοψηφία των </w:t>
      </w:r>
      <w:r w:rsidR="00EA2190">
        <w:rPr>
          <w:rFonts w:ascii="Times New Roman" w:eastAsia="Times New Roman" w:hAnsi="Times New Roman" w:cs="Times New Roman"/>
          <w:color w:val="212121"/>
          <w:sz w:val="24"/>
          <w:szCs w:val="24"/>
          <w:shd w:val="clear" w:color="auto" w:fill="FFFFFF"/>
          <w:lang w:val="en-US" w:eastAsia="el-GR"/>
        </w:rPr>
        <w:t>MRD</w:t>
      </w:r>
      <w:r w:rsidR="00EA2190" w:rsidRPr="00EA2190">
        <w:rPr>
          <w:rFonts w:ascii="Times New Roman" w:eastAsia="Times New Roman" w:hAnsi="Times New Roman" w:cs="Times New Roman"/>
          <w:color w:val="212121"/>
          <w:sz w:val="24"/>
          <w:szCs w:val="24"/>
          <w:shd w:val="clear" w:color="auto" w:fill="FFFFFF"/>
          <w:lang w:eastAsia="el-GR"/>
        </w:rPr>
        <w:t>+</w:t>
      </w:r>
      <w:r w:rsidR="00EA2190">
        <w:rPr>
          <w:rFonts w:ascii="Times New Roman" w:eastAsia="Times New Roman" w:hAnsi="Times New Roman" w:cs="Times New Roman"/>
          <w:color w:val="212121"/>
          <w:sz w:val="24"/>
          <w:szCs w:val="24"/>
          <w:shd w:val="clear" w:color="auto" w:fill="FFFFFF"/>
          <w:lang w:eastAsia="el-GR"/>
        </w:rPr>
        <w:t xml:space="preserve"> περιστατικών</w:t>
      </w:r>
      <w:r w:rsidRPr="00B90356">
        <w:rPr>
          <w:rFonts w:ascii="Times New Roman" w:eastAsia="Times New Roman" w:hAnsi="Times New Roman" w:cs="Times New Roman"/>
          <w:color w:val="212121"/>
          <w:sz w:val="24"/>
          <w:szCs w:val="24"/>
          <w:shd w:val="clear" w:color="auto" w:fill="FFFFFF"/>
          <w:lang w:eastAsia="el-GR"/>
        </w:rPr>
        <w:t xml:space="preserve"> της παρούσας μελέτης, ανιχνεύθηκαν πολύ χαμηλά επίπεδα κλωνικών κυττάρων (≤10</w:t>
      </w:r>
      <w:r w:rsidRPr="00B90356">
        <w:rPr>
          <w:rFonts w:ascii="Times New Roman" w:eastAsia="Times New Roman" w:hAnsi="Times New Roman" w:cs="Times New Roman"/>
          <w:color w:val="212121"/>
          <w:sz w:val="24"/>
          <w:szCs w:val="24"/>
          <w:shd w:val="clear" w:color="auto" w:fill="FFFFFF"/>
          <w:vertAlign w:val="superscript"/>
          <w:lang w:eastAsia="el-GR"/>
        </w:rPr>
        <w:t>-5</w:t>
      </w:r>
      <w:r w:rsidR="00EA2190">
        <w:rPr>
          <w:rFonts w:ascii="Times New Roman" w:eastAsia="Times New Roman" w:hAnsi="Times New Roman" w:cs="Times New Roman"/>
          <w:color w:val="212121"/>
          <w:sz w:val="24"/>
          <w:szCs w:val="24"/>
          <w:shd w:val="clear" w:color="auto" w:fill="FFFFFF"/>
          <w:lang w:eastAsia="el-GR"/>
        </w:rPr>
        <w:t xml:space="preserve">) </w:t>
      </w:r>
      <w:r w:rsidR="00EA2190" w:rsidRPr="007D6D6B">
        <w:rPr>
          <w:rFonts w:ascii="Times New Roman" w:eastAsia="Times New Roman" w:hAnsi="Times New Roman" w:cs="Times New Roman"/>
          <w:b/>
          <w:color w:val="212121"/>
          <w:sz w:val="24"/>
          <w:szCs w:val="24"/>
          <w:shd w:val="clear" w:color="auto" w:fill="FFFFFF"/>
          <w:lang w:eastAsia="el-GR"/>
        </w:rPr>
        <w:t xml:space="preserve">και θα είχαν θεωρηθεί ως </w:t>
      </w:r>
      <w:r w:rsidR="00EA2190" w:rsidRPr="007D6D6B">
        <w:rPr>
          <w:rFonts w:ascii="Times New Roman" w:eastAsia="Times New Roman" w:hAnsi="Times New Roman" w:cs="Times New Roman"/>
          <w:b/>
          <w:color w:val="212121"/>
          <w:sz w:val="24"/>
          <w:szCs w:val="24"/>
          <w:shd w:val="clear" w:color="auto" w:fill="FFFFFF"/>
          <w:lang w:val="en-US" w:eastAsia="el-GR"/>
        </w:rPr>
        <w:t>MRD</w:t>
      </w:r>
      <w:r w:rsidR="00EA2190" w:rsidRPr="007D6D6B">
        <w:rPr>
          <w:rFonts w:ascii="Times New Roman" w:eastAsia="Times New Roman" w:hAnsi="Times New Roman" w:cs="Times New Roman"/>
          <w:b/>
          <w:color w:val="212121"/>
          <w:sz w:val="24"/>
          <w:szCs w:val="24"/>
          <w:shd w:val="clear" w:color="auto" w:fill="FFFFFF"/>
          <w:lang w:eastAsia="el-GR"/>
        </w:rPr>
        <w:t>-</w:t>
      </w:r>
      <w:r w:rsidRPr="007D6D6B">
        <w:rPr>
          <w:rFonts w:ascii="Times New Roman" w:eastAsia="Times New Roman" w:hAnsi="Times New Roman" w:cs="Times New Roman"/>
          <w:b/>
          <w:color w:val="212121"/>
          <w:sz w:val="24"/>
          <w:szCs w:val="24"/>
          <w:shd w:val="clear" w:color="auto" w:fill="FFFFFF"/>
          <w:lang w:eastAsia="el-GR"/>
        </w:rPr>
        <w:t xml:space="preserve"> αν χρησιμοποιούσαμε λιγότερο ευαίσθητες τεχνικές ανίχνευσης</w:t>
      </w:r>
      <w:r w:rsidRPr="00B90356">
        <w:rPr>
          <w:rFonts w:ascii="Times New Roman" w:eastAsia="Times New Roman" w:hAnsi="Times New Roman" w:cs="Times New Roman"/>
          <w:color w:val="212121"/>
          <w:sz w:val="24"/>
          <w:szCs w:val="24"/>
          <w:shd w:val="clear" w:color="auto" w:fill="FFFFFF"/>
          <w:lang w:eastAsia="el-GR"/>
        </w:rPr>
        <w:t xml:space="preserve">. </w:t>
      </w:r>
    </w:p>
    <w:p w:rsidR="007D6D6B" w:rsidRPr="00AF6CF6" w:rsidRDefault="00C32987" w:rsidP="007D6D6B">
      <w:pPr>
        <w:spacing w:after="0" w:line="360" w:lineRule="auto"/>
        <w:ind w:firstLine="426"/>
        <w:jc w:val="both"/>
        <w:rPr>
          <w:rFonts w:ascii="Times New Roman" w:eastAsia="Times New Roman" w:hAnsi="Times New Roman" w:cs="Times New Roman"/>
          <w:color w:val="212121"/>
          <w:sz w:val="24"/>
          <w:szCs w:val="24"/>
          <w:shd w:val="clear" w:color="auto" w:fill="FFFFFF"/>
          <w:lang w:eastAsia="el-GR"/>
        </w:rPr>
      </w:pPr>
      <w:r w:rsidRPr="00B90356">
        <w:rPr>
          <w:rFonts w:ascii="Times New Roman" w:eastAsia="Times New Roman" w:hAnsi="Times New Roman" w:cs="Times New Roman"/>
          <w:color w:val="212121"/>
          <w:sz w:val="24"/>
          <w:szCs w:val="24"/>
          <w:shd w:val="clear" w:color="auto" w:fill="FFFFFF"/>
          <w:lang w:eastAsia="el-GR"/>
        </w:rPr>
        <w:t xml:space="preserve">Σε κλινικό επίπεδο, </w:t>
      </w:r>
      <w:r w:rsidR="007D6D6B">
        <w:rPr>
          <w:rFonts w:ascii="Times New Roman" w:eastAsia="Times New Roman" w:hAnsi="Times New Roman" w:cs="Times New Roman"/>
          <w:color w:val="212121"/>
          <w:sz w:val="24"/>
          <w:szCs w:val="24"/>
          <w:shd w:val="clear" w:color="auto" w:fill="FFFFFF"/>
          <w:lang w:eastAsia="el-GR"/>
        </w:rPr>
        <w:t xml:space="preserve">από την επιλεγμένη ομάδα ασθενών σε παρατεταμένη ύφεση, </w:t>
      </w:r>
      <w:r w:rsidRPr="00B90356">
        <w:rPr>
          <w:rFonts w:ascii="Times New Roman" w:eastAsia="Times New Roman" w:hAnsi="Times New Roman" w:cs="Times New Roman"/>
          <w:color w:val="212121"/>
          <w:sz w:val="24"/>
          <w:szCs w:val="24"/>
          <w:shd w:val="clear" w:color="auto" w:fill="FFFFFF"/>
          <w:lang w:eastAsia="el-GR"/>
        </w:rPr>
        <w:t>6</w:t>
      </w:r>
      <w:r w:rsidR="007D6D6B">
        <w:rPr>
          <w:rFonts w:ascii="Times New Roman" w:eastAsia="Times New Roman" w:hAnsi="Times New Roman" w:cs="Times New Roman"/>
          <w:color w:val="212121"/>
          <w:sz w:val="24"/>
          <w:szCs w:val="24"/>
          <w:shd w:val="clear" w:color="auto" w:fill="FFFFFF"/>
          <w:lang w:eastAsia="el-GR"/>
        </w:rPr>
        <w:t>/56</w:t>
      </w:r>
      <w:r w:rsidRPr="00B90356">
        <w:rPr>
          <w:rFonts w:ascii="Times New Roman" w:eastAsia="Times New Roman" w:hAnsi="Times New Roman" w:cs="Times New Roman"/>
          <w:color w:val="212121"/>
          <w:sz w:val="24"/>
          <w:szCs w:val="24"/>
          <w:shd w:val="clear" w:color="auto" w:fill="FFFFFF"/>
          <w:lang w:eastAsia="el-GR"/>
        </w:rPr>
        <w:t xml:space="preserve"> ασθενείς (12%) έχουν υποτροπιάσει μέχρι σήμερα,</w:t>
      </w:r>
      <w:r w:rsidR="007D6D6B">
        <w:rPr>
          <w:rFonts w:ascii="Times New Roman" w:eastAsia="Times New Roman" w:hAnsi="Times New Roman" w:cs="Times New Roman"/>
          <w:color w:val="212121"/>
          <w:sz w:val="24"/>
          <w:szCs w:val="24"/>
          <w:shd w:val="clear" w:color="auto" w:fill="FFFFFF"/>
          <w:lang w:eastAsia="el-GR"/>
        </w:rPr>
        <w:t xml:space="preserve"> και σε όλους διαπιστώθηκε η παρουσία της</w:t>
      </w:r>
      <w:r w:rsidR="007D6D6B" w:rsidRPr="007D6D6B">
        <w:rPr>
          <w:rFonts w:ascii="Times New Roman" w:eastAsia="Times New Roman" w:hAnsi="Times New Roman" w:cs="Times New Roman"/>
          <w:color w:val="212121"/>
          <w:sz w:val="24"/>
          <w:szCs w:val="24"/>
          <w:shd w:val="clear" w:color="auto" w:fill="FFFFFF"/>
          <w:lang w:eastAsia="el-GR"/>
        </w:rPr>
        <w:t xml:space="preserve"> </w:t>
      </w:r>
      <w:r w:rsidR="007D6D6B">
        <w:rPr>
          <w:rFonts w:ascii="Times New Roman" w:eastAsia="Times New Roman" w:hAnsi="Times New Roman" w:cs="Times New Roman"/>
          <w:color w:val="212121"/>
          <w:sz w:val="24"/>
          <w:szCs w:val="24"/>
          <w:shd w:val="clear" w:color="auto" w:fill="FFFFFF"/>
          <w:lang w:val="en-US" w:eastAsia="el-GR"/>
        </w:rPr>
        <w:t>MRD</w:t>
      </w:r>
      <w:r w:rsidRPr="00B90356">
        <w:rPr>
          <w:rFonts w:ascii="Times New Roman" w:eastAsia="Times New Roman" w:hAnsi="Times New Roman" w:cs="Times New Roman"/>
          <w:color w:val="212121"/>
          <w:sz w:val="24"/>
          <w:szCs w:val="24"/>
          <w:shd w:val="clear" w:color="auto" w:fill="FFFFFF"/>
          <w:lang w:eastAsia="el-GR"/>
        </w:rPr>
        <w:t xml:space="preserve">. Πρέπει </w:t>
      </w:r>
      <w:r w:rsidR="007D6D6B">
        <w:rPr>
          <w:rFonts w:ascii="Times New Roman" w:eastAsia="Times New Roman" w:hAnsi="Times New Roman" w:cs="Times New Roman"/>
          <w:color w:val="212121"/>
          <w:sz w:val="24"/>
          <w:szCs w:val="24"/>
          <w:shd w:val="clear" w:color="auto" w:fill="FFFFFF"/>
          <w:lang w:eastAsia="el-GR"/>
        </w:rPr>
        <w:t xml:space="preserve">μάλιστα </w:t>
      </w:r>
      <w:r w:rsidRPr="00B90356">
        <w:rPr>
          <w:rFonts w:ascii="Times New Roman" w:eastAsia="Times New Roman" w:hAnsi="Times New Roman" w:cs="Times New Roman"/>
          <w:color w:val="212121"/>
          <w:sz w:val="24"/>
          <w:szCs w:val="24"/>
          <w:shd w:val="clear" w:color="auto" w:fill="FFFFFF"/>
          <w:lang w:eastAsia="el-GR"/>
        </w:rPr>
        <w:t xml:space="preserve">να σημειωθεί ότι δύο από αυτές τις περιπτώσεις θα είχαν θεωρηθεί ως </w:t>
      </w:r>
      <w:r w:rsidR="007D6D6B">
        <w:rPr>
          <w:rFonts w:ascii="Times New Roman" w:eastAsia="Times New Roman" w:hAnsi="Times New Roman" w:cs="Times New Roman"/>
          <w:color w:val="212121"/>
          <w:sz w:val="24"/>
          <w:szCs w:val="24"/>
          <w:shd w:val="clear" w:color="auto" w:fill="FFFFFF"/>
          <w:lang w:val="en-US" w:eastAsia="el-GR"/>
        </w:rPr>
        <w:t>MRD</w:t>
      </w:r>
      <w:r w:rsidR="007D6D6B" w:rsidRPr="007D6D6B">
        <w:rPr>
          <w:rFonts w:ascii="Times New Roman" w:eastAsia="Times New Roman" w:hAnsi="Times New Roman" w:cs="Times New Roman"/>
          <w:color w:val="212121"/>
          <w:sz w:val="24"/>
          <w:szCs w:val="24"/>
          <w:shd w:val="clear" w:color="auto" w:fill="FFFFFF"/>
          <w:lang w:eastAsia="el-GR"/>
        </w:rPr>
        <w:t>-</w:t>
      </w:r>
      <w:r w:rsidRPr="00B90356">
        <w:rPr>
          <w:rFonts w:ascii="Times New Roman" w:eastAsia="Times New Roman" w:hAnsi="Times New Roman" w:cs="Times New Roman"/>
          <w:color w:val="212121"/>
          <w:sz w:val="24"/>
          <w:szCs w:val="24"/>
          <w:shd w:val="clear" w:color="auto" w:fill="FFFFFF"/>
          <w:lang w:eastAsia="el-GR"/>
        </w:rPr>
        <w:t xml:space="preserve"> αν εφαρμοζόταν μια μέθοδος χαμηλότερης ευαισθησίας. Συνολικά, τα παραπάνω δεδομένα υποστηρίζουν την εφαρμογή πολύ ευαίσθητων</w:t>
      </w:r>
      <w:r w:rsidR="007D6D6B" w:rsidRPr="007D6D6B">
        <w:rPr>
          <w:rFonts w:ascii="Times New Roman" w:eastAsia="Times New Roman" w:hAnsi="Times New Roman" w:cs="Times New Roman"/>
          <w:color w:val="212121"/>
          <w:sz w:val="24"/>
          <w:szCs w:val="24"/>
          <w:shd w:val="clear" w:color="auto" w:fill="FFFFFF"/>
          <w:lang w:eastAsia="el-GR"/>
        </w:rPr>
        <w:t xml:space="preserve"> </w:t>
      </w:r>
      <w:r w:rsidR="007D6D6B">
        <w:rPr>
          <w:rFonts w:ascii="Times New Roman" w:eastAsia="Times New Roman" w:hAnsi="Times New Roman" w:cs="Times New Roman"/>
          <w:color w:val="212121"/>
          <w:sz w:val="24"/>
          <w:szCs w:val="24"/>
          <w:shd w:val="clear" w:color="auto" w:fill="FFFFFF"/>
          <w:lang w:eastAsia="el-GR"/>
        </w:rPr>
        <w:t>τεχνικών (σαν και τη δική μας) για την</w:t>
      </w:r>
      <w:r w:rsidRPr="00B90356">
        <w:rPr>
          <w:rFonts w:ascii="Times New Roman" w:eastAsia="Times New Roman" w:hAnsi="Times New Roman" w:cs="Times New Roman"/>
          <w:color w:val="212121"/>
          <w:sz w:val="24"/>
          <w:szCs w:val="24"/>
          <w:shd w:val="clear" w:color="auto" w:fill="FFFFFF"/>
          <w:lang w:eastAsia="el-GR"/>
        </w:rPr>
        <w:t xml:space="preserve"> παρακολούθηση της </w:t>
      </w:r>
      <w:r w:rsidR="007D6D6B">
        <w:rPr>
          <w:rFonts w:ascii="Times New Roman" w:eastAsia="Times New Roman" w:hAnsi="Times New Roman" w:cs="Times New Roman"/>
          <w:color w:val="212121"/>
          <w:sz w:val="24"/>
          <w:szCs w:val="24"/>
          <w:shd w:val="clear" w:color="auto" w:fill="FFFFFF"/>
          <w:lang w:val="en-US" w:eastAsia="el-GR"/>
        </w:rPr>
        <w:t>MRD</w:t>
      </w:r>
      <w:r w:rsidR="007D6D6B" w:rsidRPr="007D6D6B">
        <w:rPr>
          <w:rFonts w:ascii="Times New Roman" w:eastAsia="Times New Roman" w:hAnsi="Times New Roman" w:cs="Times New Roman"/>
          <w:color w:val="212121"/>
          <w:sz w:val="24"/>
          <w:szCs w:val="24"/>
          <w:shd w:val="clear" w:color="auto" w:fill="FFFFFF"/>
          <w:lang w:eastAsia="el-GR"/>
        </w:rPr>
        <w:t xml:space="preserve"> </w:t>
      </w:r>
      <w:r w:rsidR="007D6D6B">
        <w:rPr>
          <w:rFonts w:ascii="Times New Roman" w:eastAsia="Times New Roman" w:hAnsi="Times New Roman" w:cs="Times New Roman"/>
          <w:color w:val="212121"/>
          <w:sz w:val="24"/>
          <w:szCs w:val="24"/>
          <w:shd w:val="clear" w:color="auto" w:fill="FFFFFF"/>
          <w:lang w:eastAsia="el-GR"/>
        </w:rPr>
        <w:t>αλλά επιπλέον</w:t>
      </w:r>
      <w:r w:rsidRPr="00B90356">
        <w:rPr>
          <w:rFonts w:ascii="Times New Roman" w:eastAsia="Times New Roman" w:hAnsi="Times New Roman" w:cs="Times New Roman"/>
          <w:color w:val="212121"/>
          <w:sz w:val="24"/>
          <w:szCs w:val="24"/>
          <w:shd w:val="clear" w:color="auto" w:fill="FFFFFF"/>
          <w:lang w:eastAsia="el-GR"/>
        </w:rPr>
        <w:t xml:space="preserve"> υποδηλώνουν</w:t>
      </w:r>
      <w:r w:rsidR="007D6D6B">
        <w:rPr>
          <w:rFonts w:ascii="Times New Roman" w:eastAsia="Times New Roman" w:hAnsi="Times New Roman" w:cs="Times New Roman"/>
          <w:color w:val="212121"/>
          <w:sz w:val="24"/>
          <w:szCs w:val="24"/>
          <w:shd w:val="clear" w:color="auto" w:fill="FFFFFF"/>
          <w:lang w:eastAsia="el-GR"/>
        </w:rPr>
        <w:t>,</w:t>
      </w:r>
      <w:r w:rsidRPr="00B90356">
        <w:rPr>
          <w:rFonts w:ascii="Times New Roman" w:eastAsia="Times New Roman" w:hAnsi="Times New Roman" w:cs="Times New Roman"/>
          <w:color w:val="212121"/>
          <w:sz w:val="24"/>
          <w:szCs w:val="24"/>
          <w:shd w:val="clear" w:color="auto" w:fill="FFFFFF"/>
          <w:lang w:eastAsia="el-GR"/>
        </w:rPr>
        <w:t xml:space="preserve"> ότι μεταξύ των ασθενών που επιτυγχάνουν μακροχρόνια πλήρη ύφεση, γεγονός που αποτελεί από μόνο του έναν εξαιρετικό στόχο της θεραπείας στο ΠΜ, </w:t>
      </w:r>
      <w:r w:rsidRPr="007D6D6B">
        <w:rPr>
          <w:rFonts w:ascii="Times New Roman" w:eastAsia="Times New Roman" w:hAnsi="Times New Roman" w:cs="Times New Roman"/>
          <w:b/>
          <w:color w:val="212121"/>
          <w:sz w:val="24"/>
          <w:szCs w:val="24"/>
          <w:shd w:val="clear" w:color="auto" w:fill="FFFFFF"/>
          <w:lang w:eastAsia="el-GR"/>
        </w:rPr>
        <w:t xml:space="preserve">ένα σημαντικό ποσοστό περιστατικών παραμένει </w:t>
      </w:r>
      <w:r w:rsidR="007D6D6B" w:rsidRPr="007D6D6B">
        <w:rPr>
          <w:rFonts w:ascii="Times New Roman" w:eastAsia="Times New Roman" w:hAnsi="Times New Roman" w:cs="Times New Roman"/>
          <w:b/>
          <w:color w:val="212121"/>
          <w:sz w:val="24"/>
          <w:szCs w:val="24"/>
          <w:shd w:val="clear" w:color="auto" w:fill="FFFFFF"/>
          <w:lang w:val="en-US" w:eastAsia="el-GR"/>
        </w:rPr>
        <w:t>MRD</w:t>
      </w:r>
      <w:r w:rsidR="007D6D6B" w:rsidRPr="007D6D6B">
        <w:rPr>
          <w:rFonts w:ascii="Times New Roman" w:eastAsia="Times New Roman" w:hAnsi="Times New Roman" w:cs="Times New Roman"/>
          <w:b/>
          <w:color w:val="212121"/>
          <w:sz w:val="24"/>
          <w:szCs w:val="24"/>
          <w:shd w:val="clear" w:color="auto" w:fill="FFFFFF"/>
          <w:lang w:eastAsia="el-GR"/>
        </w:rPr>
        <w:t>+</w:t>
      </w:r>
      <w:r w:rsidRPr="007D6D6B">
        <w:rPr>
          <w:rFonts w:ascii="Times New Roman" w:eastAsia="Times New Roman" w:hAnsi="Times New Roman" w:cs="Times New Roman"/>
          <w:b/>
          <w:color w:val="212121"/>
          <w:sz w:val="24"/>
          <w:szCs w:val="24"/>
          <w:shd w:val="clear" w:color="auto" w:fill="FFFFFF"/>
          <w:lang w:eastAsia="el-GR"/>
        </w:rPr>
        <w:t xml:space="preserve"> και συνεπώς ενδέχεται να διατρέχει υψηλότερο κίνδυνο υποτροπής</w:t>
      </w:r>
      <w:r w:rsidRPr="00B90356">
        <w:rPr>
          <w:rFonts w:ascii="Times New Roman" w:eastAsia="Times New Roman" w:hAnsi="Times New Roman" w:cs="Times New Roman"/>
          <w:color w:val="212121"/>
          <w:sz w:val="24"/>
          <w:szCs w:val="24"/>
          <w:shd w:val="clear" w:color="auto" w:fill="FFFFFF"/>
          <w:lang w:eastAsia="el-GR"/>
        </w:rPr>
        <w:t xml:space="preserve">. </w:t>
      </w:r>
    </w:p>
    <w:p w:rsidR="007D6D6B" w:rsidRPr="004D4E9B" w:rsidRDefault="007D6D6B" w:rsidP="007D6D6B">
      <w:pPr>
        <w:spacing w:after="0" w:line="360" w:lineRule="auto"/>
        <w:ind w:firstLine="426"/>
        <w:jc w:val="both"/>
        <w:rPr>
          <w:rFonts w:ascii="Times New Roman" w:hAnsi="Times New Roman" w:cs="Times New Roman"/>
          <w:b/>
          <w:color w:val="212121"/>
          <w:sz w:val="24"/>
          <w:szCs w:val="24"/>
          <w:shd w:val="clear" w:color="auto" w:fill="FFFFFF"/>
        </w:rPr>
      </w:pPr>
      <w:r w:rsidRPr="007D6D6B">
        <w:rPr>
          <w:rFonts w:ascii="Times New Roman" w:hAnsi="Times New Roman" w:cs="Times New Roman"/>
          <w:color w:val="212121"/>
          <w:sz w:val="24"/>
          <w:szCs w:val="24"/>
          <w:shd w:val="clear" w:color="auto" w:fill="FFFFFF"/>
        </w:rPr>
        <w:lastRenderedPageBreak/>
        <w:t xml:space="preserve">Ένα σημαντικό ερώτημα που θέσαμε </w:t>
      </w:r>
      <w:r>
        <w:rPr>
          <w:rFonts w:ascii="Times New Roman" w:hAnsi="Times New Roman" w:cs="Times New Roman"/>
          <w:color w:val="212121"/>
          <w:sz w:val="24"/>
          <w:szCs w:val="24"/>
          <w:shd w:val="clear" w:color="auto" w:fill="FFFFFF"/>
        </w:rPr>
        <w:t xml:space="preserve">είχε να κάνει με το αν η παρουσία της </w:t>
      </w:r>
      <w:r>
        <w:rPr>
          <w:rFonts w:ascii="Times New Roman" w:hAnsi="Times New Roman" w:cs="Times New Roman"/>
          <w:color w:val="212121"/>
          <w:sz w:val="24"/>
          <w:szCs w:val="24"/>
          <w:shd w:val="clear" w:color="auto" w:fill="FFFFFF"/>
          <w:lang w:val="en-US"/>
        </w:rPr>
        <w:t>MRD</w:t>
      </w:r>
      <w:r w:rsidRPr="007D6D6B">
        <w:rPr>
          <w:rFonts w:ascii="Times New Roman" w:hAnsi="Times New Roman" w:cs="Times New Roman"/>
          <w:color w:val="212121"/>
          <w:sz w:val="24"/>
          <w:szCs w:val="24"/>
          <w:shd w:val="clear" w:color="auto" w:fill="FFFFFF"/>
        </w:rPr>
        <w:t xml:space="preserve"> μπορούσε να συσχετισθεί με οποιαδήποτε από τις διαθέσιμες προγνωστικές παραμέτρους κατά τη διάγνωση. Οι αναλύσεις</w:t>
      </w:r>
      <w:r>
        <w:rPr>
          <w:rFonts w:ascii="Times New Roman" w:hAnsi="Times New Roman" w:cs="Times New Roman"/>
          <w:color w:val="212121"/>
          <w:sz w:val="24"/>
          <w:szCs w:val="24"/>
          <w:shd w:val="clear" w:color="auto" w:fill="FFFFFF"/>
        </w:rPr>
        <w:t xml:space="preserve"> μας</w:t>
      </w:r>
      <w:r w:rsidRPr="007D6D6B">
        <w:rPr>
          <w:rFonts w:ascii="Times New Roman" w:hAnsi="Times New Roman" w:cs="Times New Roman"/>
          <w:color w:val="212121"/>
          <w:sz w:val="24"/>
          <w:szCs w:val="24"/>
          <w:shd w:val="clear" w:color="auto" w:fill="FFFFFF"/>
        </w:rPr>
        <w:t xml:space="preserve"> δεν έδειξαν κάποια σημαντική συσχέτιση μεταξύ της ηλικίας, των επιπέδων LDH, του κυτταρογενετικού προφίλ, του κλινικού σταδίου κατά ISS ή οποιασδήποτε άλλης παραμέτ</w:t>
      </w:r>
      <w:r>
        <w:rPr>
          <w:rFonts w:ascii="Times New Roman" w:hAnsi="Times New Roman" w:cs="Times New Roman"/>
          <w:color w:val="212121"/>
          <w:sz w:val="24"/>
          <w:szCs w:val="24"/>
          <w:shd w:val="clear" w:color="auto" w:fill="FFFFFF"/>
        </w:rPr>
        <w:t xml:space="preserve">ρου και της </w:t>
      </w:r>
      <w:r>
        <w:rPr>
          <w:rFonts w:ascii="Times New Roman" w:hAnsi="Times New Roman" w:cs="Times New Roman"/>
          <w:color w:val="212121"/>
          <w:sz w:val="24"/>
          <w:szCs w:val="24"/>
          <w:shd w:val="clear" w:color="auto" w:fill="FFFFFF"/>
          <w:lang w:val="en-US"/>
        </w:rPr>
        <w:t>MRD</w:t>
      </w:r>
      <w:r w:rsidRPr="007D6D6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θετικότητας</w:t>
      </w:r>
      <w:r w:rsidRPr="007D6D6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Pr="007D6D6B">
        <w:rPr>
          <w:rFonts w:ascii="Times New Roman" w:hAnsi="Times New Roman" w:cs="Times New Roman"/>
          <w:color w:val="212121"/>
          <w:sz w:val="24"/>
          <w:szCs w:val="24"/>
          <w:shd w:val="clear" w:color="auto" w:fill="FFFFFF"/>
        </w:rPr>
        <w:t>Αντίστοιχα, δεν διαπιστώθηκαν διαφορές στην ικανό</w:t>
      </w:r>
      <w:r>
        <w:rPr>
          <w:rFonts w:ascii="Times New Roman" w:hAnsi="Times New Roman" w:cs="Times New Roman"/>
          <w:color w:val="212121"/>
          <w:sz w:val="24"/>
          <w:szCs w:val="24"/>
          <w:shd w:val="clear" w:color="auto" w:fill="FFFFFF"/>
        </w:rPr>
        <w:t xml:space="preserve">τητα επίτευξης </w:t>
      </w:r>
      <w:r>
        <w:rPr>
          <w:rFonts w:ascii="Times New Roman" w:hAnsi="Times New Roman" w:cs="Times New Roman"/>
          <w:color w:val="212121"/>
          <w:sz w:val="24"/>
          <w:szCs w:val="24"/>
          <w:shd w:val="clear" w:color="auto" w:fill="FFFFFF"/>
          <w:lang w:val="en-US"/>
        </w:rPr>
        <w:t>MRD</w:t>
      </w:r>
      <w:r w:rsidRPr="007D6D6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ανταπόκρισης </w:t>
      </w:r>
      <w:r w:rsidRPr="007D6D6B">
        <w:rPr>
          <w:rFonts w:ascii="Times New Roman" w:hAnsi="Times New Roman" w:cs="Times New Roman"/>
          <w:color w:val="212121"/>
          <w:sz w:val="24"/>
          <w:szCs w:val="24"/>
          <w:shd w:val="clear" w:color="auto" w:fill="FFFFFF"/>
        </w:rPr>
        <w:t>ανάλογα με το είδος της πρώτης γραμμής θεραπείας ή ανάλογα με το αν ο ασθενής είχε υποβληθεί ή όχι σε αυτόλογη μεταμόσχευση. Αυτή η έλλειψη συσχετισμών υποδηλώνει ότι τα βασικά κλινικά χαρακτηριστικά δεν βοηθούν στην τελική</w:t>
      </w:r>
      <w:r w:rsidR="004D4E9B">
        <w:rPr>
          <w:rFonts w:ascii="Times New Roman" w:hAnsi="Times New Roman" w:cs="Times New Roman"/>
          <w:color w:val="212121"/>
          <w:sz w:val="24"/>
          <w:szCs w:val="24"/>
          <w:shd w:val="clear" w:color="auto" w:fill="FFFFFF"/>
        </w:rPr>
        <w:t xml:space="preserve"> πρόβλεψη της κατάστασης της </w:t>
      </w:r>
      <w:r w:rsidR="004D4E9B">
        <w:rPr>
          <w:rFonts w:ascii="Times New Roman" w:hAnsi="Times New Roman" w:cs="Times New Roman"/>
          <w:color w:val="212121"/>
          <w:sz w:val="24"/>
          <w:szCs w:val="24"/>
          <w:shd w:val="clear" w:color="auto" w:fill="FFFFFF"/>
          <w:lang w:val="en-US"/>
        </w:rPr>
        <w:t>MRD</w:t>
      </w:r>
      <w:r w:rsidR="004D4E9B">
        <w:rPr>
          <w:rFonts w:ascii="Times New Roman" w:hAnsi="Times New Roman" w:cs="Times New Roman"/>
          <w:color w:val="212121"/>
          <w:sz w:val="24"/>
          <w:szCs w:val="24"/>
          <w:shd w:val="clear" w:color="auto" w:fill="FFFFFF"/>
        </w:rPr>
        <w:t xml:space="preserve"> των ασθενών</w:t>
      </w:r>
      <w:r w:rsidR="004D4E9B" w:rsidRPr="004D4E9B">
        <w:rPr>
          <w:rFonts w:ascii="Times New Roman" w:hAnsi="Times New Roman" w:cs="Times New Roman"/>
          <w:color w:val="212121"/>
          <w:sz w:val="24"/>
          <w:szCs w:val="24"/>
          <w:shd w:val="clear" w:color="auto" w:fill="FFFFFF"/>
        </w:rPr>
        <w:t xml:space="preserve"> </w:t>
      </w:r>
      <w:r w:rsidR="004D4E9B">
        <w:rPr>
          <w:rFonts w:ascii="Times New Roman" w:hAnsi="Times New Roman" w:cs="Times New Roman"/>
          <w:color w:val="212121"/>
          <w:sz w:val="24"/>
          <w:szCs w:val="24"/>
          <w:shd w:val="clear" w:color="auto" w:fill="FFFFFF"/>
        </w:rPr>
        <w:t xml:space="preserve">και </w:t>
      </w:r>
      <w:r w:rsidR="004D4E9B" w:rsidRPr="004D4E9B">
        <w:rPr>
          <w:rFonts w:ascii="Times New Roman" w:hAnsi="Times New Roman" w:cs="Times New Roman"/>
          <w:b/>
          <w:color w:val="212121"/>
          <w:sz w:val="24"/>
          <w:szCs w:val="24"/>
          <w:shd w:val="clear" w:color="auto" w:fill="FFFFFF"/>
        </w:rPr>
        <w:t xml:space="preserve">συνηγορούν υπέρ της ανεξάρτητης προγνωστικής της αξίας. </w:t>
      </w:r>
    </w:p>
    <w:p w:rsidR="00A4259B" w:rsidRPr="00AF6CF6" w:rsidRDefault="00C32987" w:rsidP="004D4E9B">
      <w:pPr>
        <w:spacing w:after="0" w:line="360" w:lineRule="auto"/>
        <w:ind w:firstLine="426"/>
        <w:jc w:val="both"/>
        <w:rPr>
          <w:rFonts w:ascii="Times New Roman" w:hAnsi="Times New Roman" w:cs="Times New Roman"/>
          <w:sz w:val="24"/>
          <w:szCs w:val="24"/>
        </w:rPr>
      </w:pPr>
      <w:r w:rsidRPr="007D6D6B">
        <w:rPr>
          <w:rFonts w:ascii="Times New Roman" w:hAnsi="Times New Roman" w:cs="Times New Roman"/>
          <w:sz w:val="24"/>
          <w:szCs w:val="24"/>
        </w:rPr>
        <w:t>Όσον αφορά την ανοσοφαινοτυπική ανάλυση, τα αποτελέσματά μας επιβεβαίωσαν προηγούμενες παρατηρήσεις σχετικά με την εν</w:t>
      </w:r>
      <w:r w:rsidR="004D4E9B">
        <w:rPr>
          <w:rFonts w:ascii="Times New Roman" w:hAnsi="Times New Roman" w:cs="Times New Roman"/>
          <w:sz w:val="24"/>
          <w:szCs w:val="24"/>
        </w:rPr>
        <w:t xml:space="preserve">δογενή φαινοτυπική ετερογένεια </w:t>
      </w:r>
      <w:r w:rsidRPr="007D6D6B">
        <w:rPr>
          <w:rFonts w:ascii="Times New Roman" w:hAnsi="Times New Roman" w:cs="Times New Roman"/>
          <w:sz w:val="24"/>
          <w:szCs w:val="24"/>
        </w:rPr>
        <w:t>των πλασματοκυττάρων και την παρουσία ποικίλων παθολογικών φαινοτύπων, που επιτρέπουν τη διάκριση των φυσιολογικών από τα νεοπλασματικά κύτταρα του δείγματος, ακόμα και αν τα τελευταία συγκροτούν μόνο το 0,1% του κλάσματος των πλασματοκυττάρων.</w:t>
      </w:r>
      <w:r w:rsidR="004D4E9B">
        <w:rPr>
          <w:rFonts w:ascii="Times New Roman" w:hAnsi="Times New Roman" w:cs="Times New Roman"/>
          <w:sz w:val="24"/>
          <w:szCs w:val="24"/>
          <w:vertAlign w:val="superscript"/>
        </w:rPr>
        <w:t>39,40</w:t>
      </w:r>
      <w:r w:rsidRPr="007D6D6B">
        <w:rPr>
          <w:rFonts w:ascii="Times New Roman" w:hAnsi="Times New Roman" w:cs="Times New Roman"/>
          <w:sz w:val="24"/>
          <w:szCs w:val="24"/>
        </w:rPr>
        <w:t xml:space="preserve"> Επιπρόσθετα, οι συχνότητες των παθολογικών προφίλ έκφρασης στη μελέτη μας συμφωνούν με τα πρόσφατα δημοσιευμένα δεδομένα των Flores-Montero και συνεργατών, καθότι οι δείκτες </w:t>
      </w:r>
      <w:r w:rsidRPr="007D6D6B">
        <w:rPr>
          <w:rFonts w:ascii="Times New Roman" w:hAnsi="Times New Roman" w:cs="Times New Roman"/>
          <w:sz w:val="24"/>
          <w:szCs w:val="24"/>
          <w:lang w:val="en-US"/>
        </w:rPr>
        <w:t>CD</w:t>
      </w:r>
      <w:r w:rsidRPr="007D6D6B">
        <w:rPr>
          <w:rFonts w:ascii="Times New Roman" w:hAnsi="Times New Roman" w:cs="Times New Roman"/>
          <w:sz w:val="24"/>
          <w:szCs w:val="24"/>
        </w:rPr>
        <w:t xml:space="preserve">19 και </w:t>
      </w:r>
      <w:r w:rsidRPr="007D6D6B">
        <w:rPr>
          <w:rFonts w:ascii="Times New Roman" w:hAnsi="Times New Roman" w:cs="Times New Roman"/>
          <w:sz w:val="24"/>
          <w:szCs w:val="24"/>
          <w:lang w:val="en-US"/>
        </w:rPr>
        <w:t>CD</w:t>
      </w:r>
      <w:r w:rsidRPr="007D6D6B">
        <w:rPr>
          <w:rFonts w:ascii="Times New Roman" w:hAnsi="Times New Roman" w:cs="Times New Roman"/>
          <w:sz w:val="24"/>
          <w:szCs w:val="24"/>
        </w:rPr>
        <w:t>45 βρέθηκαν αρνητικοί στα κλων</w:t>
      </w:r>
      <w:r w:rsidR="004D4E9B">
        <w:rPr>
          <w:rFonts w:ascii="Times New Roman" w:hAnsi="Times New Roman" w:cs="Times New Roman"/>
          <w:sz w:val="24"/>
          <w:szCs w:val="24"/>
        </w:rPr>
        <w:t xml:space="preserve">ικά πλασματοκύτταρα όλων των </w:t>
      </w:r>
      <w:r w:rsidR="004D4E9B">
        <w:rPr>
          <w:rFonts w:ascii="Times New Roman" w:hAnsi="Times New Roman" w:cs="Times New Roman"/>
          <w:sz w:val="24"/>
          <w:szCs w:val="24"/>
          <w:lang w:val="en-US"/>
        </w:rPr>
        <w:t>MRD</w:t>
      </w:r>
      <w:r w:rsidR="004D4E9B" w:rsidRPr="004D4E9B">
        <w:rPr>
          <w:rFonts w:ascii="Times New Roman" w:hAnsi="Times New Roman" w:cs="Times New Roman"/>
          <w:sz w:val="24"/>
          <w:szCs w:val="24"/>
        </w:rPr>
        <w:t>+</w:t>
      </w:r>
      <w:r w:rsidRPr="007D6D6B">
        <w:rPr>
          <w:rFonts w:ascii="Times New Roman" w:hAnsi="Times New Roman" w:cs="Times New Roman"/>
          <w:sz w:val="24"/>
          <w:szCs w:val="24"/>
        </w:rPr>
        <w:t xml:space="preserve"> δειγμάτων της μελέτης μας (100% έναντι του αναφερθέντος 96%) και το </w:t>
      </w:r>
      <w:r w:rsidRPr="007D6D6B">
        <w:rPr>
          <w:rFonts w:ascii="Times New Roman" w:hAnsi="Times New Roman" w:cs="Times New Roman"/>
          <w:sz w:val="24"/>
          <w:szCs w:val="24"/>
          <w:lang w:val="en-US"/>
        </w:rPr>
        <w:t>CD</w:t>
      </w:r>
      <w:r w:rsidRPr="007D6D6B">
        <w:rPr>
          <w:rFonts w:ascii="Times New Roman" w:hAnsi="Times New Roman" w:cs="Times New Roman"/>
          <w:sz w:val="24"/>
          <w:szCs w:val="24"/>
        </w:rPr>
        <w:t>27 εμφανίστηκε με εμφανώ</w:t>
      </w:r>
      <w:r w:rsidR="004D4E9B">
        <w:rPr>
          <w:rFonts w:ascii="Times New Roman" w:hAnsi="Times New Roman" w:cs="Times New Roman"/>
          <w:sz w:val="24"/>
          <w:szCs w:val="24"/>
        </w:rPr>
        <w:t xml:space="preserve">ς ασθενή έκφραση στο 83% των </w:t>
      </w:r>
      <w:r w:rsidR="004D4E9B">
        <w:rPr>
          <w:rFonts w:ascii="Times New Roman" w:hAnsi="Times New Roman" w:cs="Times New Roman"/>
          <w:sz w:val="24"/>
          <w:szCs w:val="24"/>
          <w:lang w:val="en-US"/>
        </w:rPr>
        <w:t>MRD</w:t>
      </w:r>
      <w:r w:rsidR="004D4E9B" w:rsidRPr="004D4E9B">
        <w:rPr>
          <w:rFonts w:ascii="Times New Roman" w:hAnsi="Times New Roman" w:cs="Times New Roman"/>
          <w:sz w:val="24"/>
          <w:szCs w:val="24"/>
        </w:rPr>
        <w:t>+</w:t>
      </w:r>
      <w:r w:rsidRPr="007D6D6B">
        <w:rPr>
          <w:rFonts w:ascii="Times New Roman" w:hAnsi="Times New Roman" w:cs="Times New Roman"/>
          <w:sz w:val="24"/>
          <w:szCs w:val="24"/>
        </w:rPr>
        <w:t xml:space="preserve"> δειγμάτων μας έναντι του αναφερθέντος 89%.</w:t>
      </w:r>
      <w:r w:rsidR="004D4E9B">
        <w:rPr>
          <w:rFonts w:ascii="Times New Roman" w:hAnsi="Times New Roman" w:cs="Times New Roman"/>
          <w:sz w:val="24"/>
          <w:szCs w:val="24"/>
          <w:vertAlign w:val="superscript"/>
        </w:rPr>
        <w:t>2</w:t>
      </w:r>
      <w:r w:rsidR="004D4E9B" w:rsidRPr="004D4E9B">
        <w:rPr>
          <w:rFonts w:ascii="Times New Roman" w:hAnsi="Times New Roman" w:cs="Times New Roman"/>
          <w:sz w:val="24"/>
          <w:szCs w:val="24"/>
          <w:vertAlign w:val="superscript"/>
        </w:rPr>
        <w:t>5</w:t>
      </w:r>
      <w:r w:rsidRPr="007D6D6B">
        <w:rPr>
          <w:rFonts w:ascii="Times New Roman" w:hAnsi="Times New Roman" w:cs="Times New Roman"/>
          <w:sz w:val="24"/>
          <w:szCs w:val="24"/>
        </w:rPr>
        <w:t xml:space="preserve"> Πολύ ενδιαφέροντα </w:t>
      </w:r>
      <w:r w:rsidR="004D4E9B">
        <w:rPr>
          <w:rFonts w:ascii="Times New Roman" w:hAnsi="Times New Roman" w:cs="Times New Roman"/>
          <w:sz w:val="24"/>
          <w:szCs w:val="24"/>
        </w:rPr>
        <w:t xml:space="preserve">ωστόσο, ήταν και τα </w:t>
      </w:r>
      <w:r w:rsidRPr="007D6D6B">
        <w:rPr>
          <w:rFonts w:ascii="Times New Roman" w:hAnsi="Times New Roman" w:cs="Times New Roman"/>
          <w:sz w:val="24"/>
          <w:szCs w:val="24"/>
        </w:rPr>
        <w:t xml:space="preserve">ευρήματα </w:t>
      </w:r>
      <w:r w:rsidR="00A4259B">
        <w:rPr>
          <w:rFonts w:ascii="Times New Roman" w:hAnsi="Times New Roman" w:cs="Times New Roman"/>
          <w:sz w:val="24"/>
          <w:szCs w:val="24"/>
        </w:rPr>
        <w:t xml:space="preserve">των τεσσάρων διφαινοτυπικών </w:t>
      </w:r>
      <w:r w:rsidR="00A4259B">
        <w:rPr>
          <w:rFonts w:ascii="Times New Roman" w:hAnsi="Times New Roman" w:cs="Times New Roman"/>
          <w:sz w:val="24"/>
          <w:szCs w:val="24"/>
          <w:lang w:val="en-US"/>
        </w:rPr>
        <w:t>MRD</w:t>
      </w:r>
      <w:r w:rsidR="00A4259B" w:rsidRPr="00A4259B">
        <w:rPr>
          <w:rFonts w:ascii="Times New Roman" w:hAnsi="Times New Roman" w:cs="Times New Roman"/>
          <w:sz w:val="24"/>
          <w:szCs w:val="24"/>
        </w:rPr>
        <w:t>+</w:t>
      </w:r>
      <w:r w:rsidRPr="007D6D6B">
        <w:rPr>
          <w:rFonts w:ascii="Times New Roman" w:hAnsi="Times New Roman" w:cs="Times New Roman"/>
          <w:sz w:val="24"/>
          <w:szCs w:val="24"/>
        </w:rPr>
        <w:t xml:space="preserve"> </w:t>
      </w:r>
      <w:r w:rsidR="00A4259B">
        <w:rPr>
          <w:rFonts w:ascii="Times New Roman" w:hAnsi="Times New Roman" w:cs="Times New Roman"/>
          <w:sz w:val="24"/>
          <w:szCs w:val="24"/>
        </w:rPr>
        <w:t>περιστατικών με τη συνύπαρξη δύο κλωνικών πλασματοκυτταρικών πληθυσμών</w:t>
      </w:r>
      <w:r w:rsidRPr="007D6D6B">
        <w:rPr>
          <w:rFonts w:ascii="Times New Roman" w:hAnsi="Times New Roman" w:cs="Times New Roman"/>
          <w:sz w:val="24"/>
          <w:szCs w:val="24"/>
        </w:rPr>
        <w:t xml:space="preserve"> με διακριτά φαινοτυπικά χαρακτηριστικά, </w:t>
      </w:r>
      <w:r w:rsidRPr="00A4259B">
        <w:rPr>
          <w:rFonts w:ascii="Times New Roman" w:hAnsi="Times New Roman" w:cs="Times New Roman"/>
          <w:b/>
          <w:sz w:val="24"/>
          <w:szCs w:val="24"/>
        </w:rPr>
        <w:t>γεγονός που υποδεικνύει μία αξιοσημείωτη ενδοκλωνική ετερογένε</w:t>
      </w:r>
      <w:r w:rsidR="00A4259B">
        <w:rPr>
          <w:rFonts w:ascii="Times New Roman" w:hAnsi="Times New Roman" w:cs="Times New Roman"/>
          <w:b/>
          <w:sz w:val="24"/>
          <w:szCs w:val="24"/>
        </w:rPr>
        <w:t xml:space="preserve">ια ακόμα και στο επίπεδο της </w:t>
      </w:r>
      <w:r w:rsidR="00A4259B">
        <w:rPr>
          <w:rFonts w:ascii="Times New Roman" w:hAnsi="Times New Roman" w:cs="Times New Roman"/>
          <w:b/>
          <w:sz w:val="24"/>
          <w:szCs w:val="24"/>
          <w:lang w:val="en-US"/>
        </w:rPr>
        <w:t>MRD</w:t>
      </w:r>
      <w:r w:rsidRPr="007D6D6B">
        <w:rPr>
          <w:rFonts w:ascii="Times New Roman" w:hAnsi="Times New Roman" w:cs="Times New Roman"/>
          <w:sz w:val="24"/>
          <w:szCs w:val="24"/>
        </w:rPr>
        <w:t xml:space="preserve">. </w:t>
      </w:r>
    </w:p>
    <w:p w:rsidR="004745AE" w:rsidRDefault="00B91DDA" w:rsidP="004745A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Τέλος, </w:t>
      </w:r>
      <w:r w:rsidR="004745AE" w:rsidRPr="007D6D6B">
        <w:rPr>
          <w:rFonts w:ascii="Times New Roman" w:hAnsi="Times New Roman" w:cs="Times New Roman"/>
          <w:sz w:val="24"/>
          <w:szCs w:val="24"/>
        </w:rPr>
        <w:t xml:space="preserve">η φαινοτυπική σύγκριση </w:t>
      </w:r>
      <w:r w:rsidR="004745AE">
        <w:rPr>
          <w:rFonts w:ascii="Times New Roman" w:hAnsi="Times New Roman" w:cs="Times New Roman"/>
          <w:sz w:val="24"/>
          <w:szCs w:val="24"/>
        </w:rPr>
        <w:t xml:space="preserve">μίας σειράς δειγμάτων </w:t>
      </w:r>
      <w:r w:rsidR="004745AE" w:rsidRPr="007D6D6B">
        <w:rPr>
          <w:rFonts w:ascii="Times New Roman" w:hAnsi="Times New Roman" w:cs="Times New Roman"/>
          <w:sz w:val="24"/>
          <w:szCs w:val="24"/>
        </w:rPr>
        <w:t xml:space="preserve">κατά τη διάγνωση και κατά τη φάση ελέγχου </w:t>
      </w:r>
      <w:r w:rsidR="004745AE">
        <w:rPr>
          <w:rFonts w:ascii="Times New Roman" w:hAnsi="Times New Roman" w:cs="Times New Roman"/>
          <w:sz w:val="24"/>
          <w:szCs w:val="24"/>
        </w:rPr>
        <w:t xml:space="preserve">της </w:t>
      </w:r>
      <w:r w:rsidR="004745AE">
        <w:rPr>
          <w:rFonts w:ascii="Times New Roman" w:hAnsi="Times New Roman" w:cs="Times New Roman"/>
          <w:sz w:val="24"/>
          <w:szCs w:val="24"/>
          <w:lang w:val="en-US"/>
        </w:rPr>
        <w:t>MRD</w:t>
      </w:r>
      <w:r w:rsidR="004745AE" w:rsidRPr="004745AE">
        <w:rPr>
          <w:rFonts w:ascii="Times New Roman" w:hAnsi="Times New Roman" w:cs="Times New Roman"/>
          <w:sz w:val="24"/>
          <w:szCs w:val="24"/>
        </w:rPr>
        <w:t xml:space="preserve"> </w:t>
      </w:r>
      <w:r w:rsidR="004745AE">
        <w:rPr>
          <w:rFonts w:ascii="Times New Roman" w:hAnsi="Times New Roman" w:cs="Times New Roman"/>
          <w:sz w:val="24"/>
          <w:szCs w:val="24"/>
        </w:rPr>
        <w:t xml:space="preserve">αποκάλυψε φαινοτυπικές μεταβολές σε δύο περιπτώσεις και συγκεκριμένα στην αναγνώριση </w:t>
      </w:r>
      <w:r w:rsidR="004745AE">
        <w:rPr>
          <w:rFonts w:ascii="Times New Roman" w:hAnsi="Times New Roman" w:cs="Times New Roman"/>
          <w:sz w:val="24"/>
          <w:szCs w:val="24"/>
          <w:lang w:val="en-US"/>
        </w:rPr>
        <w:t>MRD</w:t>
      </w:r>
      <w:r w:rsidR="004745AE" w:rsidRPr="004745AE">
        <w:rPr>
          <w:rFonts w:ascii="Times New Roman" w:hAnsi="Times New Roman" w:cs="Times New Roman"/>
          <w:sz w:val="24"/>
          <w:szCs w:val="24"/>
        </w:rPr>
        <w:t xml:space="preserve"> </w:t>
      </w:r>
      <w:r w:rsidR="004745AE">
        <w:rPr>
          <w:rFonts w:ascii="Times New Roman" w:hAnsi="Times New Roman" w:cs="Times New Roman"/>
          <w:sz w:val="24"/>
          <w:szCs w:val="24"/>
        </w:rPr>
        <w:t xml:space="preserve">πληθυσμών με χαρακτηριστικά που αφορούσαν περιορισμένους υποκλώνους κατά τη διάγνωση. Τα αποτελέσματα αυτά συνηγορούν υπέρ της επικράτησης των ανθεκτικών στη θεραπεία υποκλώνων και αντίστοιχα στην εξάλειψη των υπολοίπων λόγω της θεραπείας, γεγονός που αν επιβεβαιωθεί σε μεγαλύτερο αριθμό ασθενών θα προσφέρει πολύ </w:t>
      </w:r>
      <w:r w:rsidR="004745AE">
        <w:rPr>
          <w:rFonts w:ascii="Times New Roman" w:hAnsi="Times New Roman" w:cs="Times New Roman"/>
          <w:sz w:val="24"/>
          <w:szCs w:val="24"/>
        </w:rPr>
        <w:lastRenderedPageBreak/>
        <w:t>χρήσιμες πληροφορίες σ</w:t>
      </w:r>
      <w:r w:rsidR="00C32987" w:rsidRPr="007D6D6B">
        <w:rPr>
          <w:rFonts w:ascii="Times New Roman" w:hAnsi="Times New Roman" w:cs="Times New Roman"/>
          <w:sz w:val="24"/>
          <w:szCs w:val="24"/>
        </w:rPr>
        <w:t>την κατανόηση των βιολογικών διαδικασιών που συμβαίνουν κατά τη πορεία της νόσου, όπως για παράδειγμα τις ενδοκλωνικές αλληλεπιδράσεις των επί μέρους νεοπλασματικών πληθυσμών, τις διαδικασίες ανοσοεπιτήρησης και/ή ανοσοδιαφυγής συγκεκριμένων υποκλώνων, καθώς και τους μηχανισμούς επαγωγής χημειοανθεκτικότητας σε συγκεκριμένους τύπους θεραπείας, που επιτρέπουν την επιλογή και τελικά την επικράτηση μόνο των ανθεκτικών κλωνικών υποπληθυσμών.</w:t>
      </w:r>
      <w:r w:rsidR="004745AE">
        <w:rPr>
          <w:rFonts w:ascii="Times New Roman" w:hAnsi="Times New Roman" w:cs="Times New Roman"/>
          <w:sz w:val="24"/>
          <w:szCs w:val="24"/>
          <w:vertAlign w:val="superscript"/>
        </w:rPr>
        <w:t>41,42</w:t>
      </w:r>
      <w:r w:rsidR="00C32987" w:rsidRPr="007D6D6B">
        <w:rPr>
          <w:rFonts w:ascii="Times New Roman" w:hAnsi="Times New Roman" w:cs="Times New Roman"/>
          <w:sz w:val="24"/>
          <w:szCs w:val="24"/>
        </w:rPr>
        <w:t xml:space="preserve"> </w:t>
      </w:r>
    </w:p>
    <w:p w:rsidR="004745AE" w:rsidRDefault="004745AE" w:rsidP="004745AE">
      <w:pPr>
        <w:spacing w:after="0" w:line="360" w:lineRule="auto"/>
        <w:ind w:firstLine="426"/>
        <w:jc w:val="both"/>
        <w:rPr>
          <w:rFonts w:ascii="Times New Roman" w:hAnsi="Times New Roman" w:cs="Times New Roman"/>
          <w:sz w:val="24"/>
          <w:szCs w:val="24"/>
        </w:rPr>
      </w:pPr>
    </w:p>
    <w:p w:rsidR="004745AE" w:rsidRDefault="004745AE" w:rsidP="004745AE">
      <w:pPr>
        <w:spacing w:after="0" w:line="360" w:lineRule="auto"/>
        <w:jc w:val="both"/>
        <w:rPr>
          <w:rFonts w:ascii="Times New Roman" w:hAnsi="Times New Roman" w:cs="Times New Roman"/>
          <w:sz w:val="24"/>
          <w:szCs w:val="24"/>
        </w:rPr>
      </w:pPr>
    </w:p>
    <w:p w:rsidR="00C32987" w:rsidRPr="00D84351" w:rsidRDefault="00C32987" w:rsidP="00D84351">
      <w:pPr>
        <w:spacing w:after="0" w:line="480" w:lineRule="auto"/>
        <w:jc w:val="center"/>
        <w:rPr>
          <w:rFonts w:ascii="Arial" w:hAnsi="Arial" w:cs="Arial"/>
          <w:b/>
          <w:sz w:val="28"/>
          <w:szCs w:val="28"/>
          <w:lang w:val="en-US"/>
        </w:rPr>
      </w:pPr>
      <w:r w:rsidRPr="00D84351">
        <w:rPr>
          <w:rFonts w:ascii="Arial" w:hAnsi="Arial" w:cs="Arial"/>
          <w:b/>
          <w:sz w:val="28"/>
          <w:szCs w:val="28"/>
        </w:rPr>
        <w:t>Βιβλιογραφία</w:t>
      </w:r>
    </w:p>
    <w:p w:rsidR="00C32987" w:rsidRPr="009B3DA9" w:rsidRDefault="00C32987" w:rsidP="009B3DA9">
      <w:pPr>
        <w:spacing w:after="0" w:line="360" w:lineRule="auto"/>
        <w:jc w:val="both"/>
        <w:rPr>
          <w:rFonts w:ascii="Times New Roman" w:hAnsi="Times New Roman" w:cs="Times New Roman"/>
          <w:sz w:val="24"/>
          <w:szCs w:val="24"/>
          <w:lang w:val="en-US"/>
        </w:rPr>
      </w:pPr>
      <w:r w:rsidRPr="009B3DA9">
        <w:rPr>
          <w:rFonts w:ascii="Times New Roman" w:hAnsi="Times New Roman" w:cs="Times New Roman"/>
          <w:sz w:val="24"/>
          <w:szCs w:val="24"/>
          <w:lang w:val="en-US"/>
        </w:rPr>
        <w:t>1. Rajkumar SV, Dimopoulos MA, Palumbo A, Blade J, Merlini G, Mateos MV et al. International Myeloma Working Group updated criteria for the diagnosis of multiple myeloma. Lancet Oncol 2014; 15:e538-e548.</w:t>
      </w:r>
    </w:p>
    <w:p w:rsidR="00C32987" w:rsidRPr="009B3DA9" w:rsidRDefault="009B3DA9" w:rsidP="009B3D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C32987" w:rsidRPr="009B3DA9">
        <w:rPr>
          <w:rFonts w:ascii="Times New Roman" w:hAnsi="Times New Roman" w:cs="Times New Roman"/>
          <w:sz w:val="24"/>
          <w:szCs w:val="24"/>
          <w:lang w:val="en-US"/>
        </w:rPr>
        <w:t>Kumar S, Paiva B, Anderson KC, Durie B, Landgren O, Moreau P et al. International Myeloma Working Group consensus criteria for response and minimal residual disease assessment in multiple myeloma. Lancet Oncol 2016; 17:e328-e346.</w:t>
      </w:r>
    </w:p>
    <w:p w:rsidR="009B3DA9" w:rsidRPr="009B3DA9" w:rsidRDefault="009B3DA9" w:rsidP="009B3D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9B3DA9">
        <w:rPr>
          <w:rFonts w:ascii="Times New Roman" w:hAnsi="Times New Roman" w:cs="Times New Roman"/>
          <w:sz w:val="24"/>
          <w:szCs w:val="24"/>
          <w:lang w:val="en-US"/>
        </w:rPr>
        <w:t>Terpos E, Dimopoulos MA. Myeloma bone disease: pathophysiology and management. Ann Oncol 2005; 16:1223-1231.</w:t>
      </w:r>
    </w:p>
    <w:p w:rsidR="009B3DA9" w:rsidRPr="009B3DA9" w:rsidRDefault="009B3DA9" w:rsidP="009B3D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9B3DA9">
        <w:rPr>
          <w:rFonts w:ascii="Times New Roman" w:hAnsi="Times New Roman" w:cs="Times New Roman"/>
          <w:sz w:val="24"/>
          <w:szCs w:val="24"/>
          <w:lang w:val="en-US"/>
        </w:rPr>
        <w:t>Giuliani N, Rizzoli V, Roodman GD. Multiple Myeloma bone disease: Pathophysiology of osteoblast inhibition. Blood 2006; 108:3992-3996.</w:t>
      </w:r>
    </w:p>
    <w:p w:rsidR="009B3DA9" w:rsidRPr="004C4A97" w:rsidRDefault="009B3DA9" w:rsidP="004C4A97">
      <w:pPr>
        <w:spacing w:after="0" w:line="360" w:lineRule="auto"/>
        <w:jc w:val="both"/>
        <w:rPr>
          <w:rFonts w:ascii="Times New Roman" w:hAnsi="Times New Roman" w:cs="Times New Roman"/>
          <w:sz w:val="24"/>
          <w:szCs w:val="24"/>
          <w:lang w:val="en-US"/>
        </w:rPr>
      </w:pPr>
      <w:r w:rsidRPr="004C4A97">
        <w:rPr>
          <w:rFonts w:ascii="Times New Roman" w:hAnsi="Times New Roman" w:cs="Times New Roman"/>
          <w:sz w:val="24"/>
          <w:szCs w:val="24"/>
          <w:lang w:val="en-US"/>
        </w:rPr>
        <w:t>5. Dimopoulos MA, Kastritis E, Rosinol L, Blade J, Ludwig H. Pathogenesis and treatment of renal failure in multiple myeloma. Leukemia 2008; 22:1485-1493</w:t>
      </w:r>
    </w:p>
    <w:p w:rsidR="00762774" w:rsidRPr="001C3891" w:rsidRDefault="004C4A97" w:rsidP="00762774">
      <w:pPr>
        <w:spacing w:after="0" w:line="360" w:lineRule="auto"/>
        <w:jc w:val="both"/>
        <w:rPr>
          <w:rFonts w:ascii="Times New Roman" w:hAnsi="Times New Roman" w:cs="Times New Roman"/>
          <w:sz w:val="24"/>
          <w:szCs w:val="24"/>
          <w:lang w:val="en-US"/>
        </w:rPr>
      </w:pPr>
      <w:r w:rsidRPr="004C4A97">
        <w:rPr>
          <w:rFonts w:ascii="Times New Roman" w:hAnsi="Times New Roman" w:cs="Times New Roman"/>
          <w:sz w:val="24"/>
          <w:szCs w:val="24"/>
          <w:lang w:val="en-US"/>
        </w:rPr>
        <w:t>6. Ferlay J, Steliarova-Foucher E, Lortet Tieulent, Rossos S, Coebergh JW et al.</w:t>
      </w:r>
      <w:r>
        <w:rPr>
          <w:rFonts w:ascii="Times New Roman" w:hAnsi="Times New Roman" w:cs="Times New Roman"/>
          <w:sz w:val="24"/>
          <w:szCs w:val="24"/>
          <w:lang w:val="en-US"/>
        </w:rPr>
        <w:t xml:space="preserve"> Cancer incidence and mortality patterns in Europe: estimates for 40 countries in 2012.</w:t>
      </w:r>
      <w:r w:rsidRPr="004C4A97">
        <w:rPr>
          <w:rFonts w:ascii="Times New Roman" w:hAnsi="Times New Roman" w:cs="Times New Roman"/>
          <w:sz w:val="24"/>
          <w:szCs w:val="24"/>
          <w:lang w:val="en-US"/>
        </w:rPr>
        <w:t xml:space="preserve"> Eur J Cancer 2013; 49:1374-1403</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7</w:t>
      </w:r>
      <w:r w:rsidR="00C32987" w:rsidRPr="00762774">
        <w:rPr>
          <w:rFonts w:ascii="Times New Roman" w:hAnsi="Times New Roman" w:cs="Times New Roman"/>
          <w:sz w:val="24"/>
          <w:szCs w:val="24"/>
          <w:lang w:val="en-US"/>
        </w:rPr>
        <w:t>. Gay F, Larocca A, Wijermans P, Cavallo F, Rossi D, Schaafsma R et al. Complete response correlates with long-term progression-free and overall survival in elderly myeloma treated with novel agents: analysis of 1175 patients. Blood 2011; 117:3025–3031.</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8</w:t>
      </w:r>
      <w:r w:rsidR="00C32987" w:rsidRPr="00762774">
        <w:rPr>
          <w:rFonts w:ascii="Times New Roman" w:hAnsi="Times New Roman" w:cs="Times New Roman"/>
          <w:sz w:val="24"/>
          <w:szCs w:val="24"/>
          <w:lang w:val="en-US"/>
        </w:rPr>
        <w:t xml:space="preserve">. Palumbo A, Bringhen S, Larocca A, Rossi D, Di Raimondo F, Magarotto V et al. Bortezomib-melphalan-prednisone-thalidomide followed by maintenance with bortezomib-thalidomide compared with bortezomib-melphalan-prednisone for initial </w:t>
      </w:r>
      <w:r w:rsidR="00C32987" w:rsidRPr="00762774">
        <w:rPr>
          <w:rFonts w:ascii="Times New Roman" w:hAnsi="Times New Roman" w:cs="Times New Roman"/>
          <w:sz w:val="24"/>
          <w:szCs w:val="24"/>
          <w:lang w:val="en-US"/>
        </w:rPr>
        <w:lastRenderedPageBreak/>
        <w:t>treatment of multiple myeloma: updated follow-up and improved survival. J Clin Oncol 2014; 32:634–640.</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9</w:t>
      </w:r>
      <w:r w:rsidR="00C32987" w:rsidRPr="00762774">
        <w:rPr>
          <w:rFonts w:ascii="Times New Roman" w:hAnsi="Times New Roman" w:cs="Times New Roman"/>
          <w:sz w:val="24"/>
          <w:szCs w:val="24"/>
          <w:lang w:val="en-US"/>
        </w:rPr>
        <w:t>. Mateos MV, Ocio EM, Paiva B, Rosinol L, Martinez-Lopez J, Blade J et al. Treatment for patients with newly diagnosed multiple myeloma in 2015. Blood Rev 2015; 29:387–403.</w:t>
      </w:r>
    </w:p>
    <w:p w:rsidR="00C32987" w:rsidRPr="00762774" w:rsidRDefault="00762774" w:rsidP="00762774">
      <w:pPr>
        <w:spacing w:after="0" w:line="360" w:lineRule="auto"/>
        <w:jc w:val="both"/>
        <w:rPr>
          <w:rFonts w:ascii="Times New Roman" w:hAnsi="Times New Roman" w:cs="Times New Roman"/>
          <w:sz w:val="24"/>
          <w:szCs w:val="24"/>
          <w:lang w:val="en-US"/>
        </w:rPr>
      </w:pPr>
      <w:r w:rsidRPr="001C3891">
        <w:rPr>
          <w:rFonts w:ascii="Times New Roman" w:hAnsi="Times New Roman" w:cs="Times New Roman"/>
          <w:sz w:val="24"/>
          <w:szCs w:val="24"/>
          <w:lang w:val="en-US"/>
        </w:rPr>
        <w:t>10</w:t>
      </w:r>
      <w:r w:rsidR="00C32987" w:rsidRPr="00762774">
        <w:rPr>
          <w:rFonts w:ascii="Times New Roman" w:hAnsi="Times New Roman" w:cs="Times New Roman"/>
          <w:sz w:val="24"/>
          <w:szCs w:val="24"/>
          <w:lang w:val="en-US"/>
        </w:rPr>
        <w:t xml:space="preserve">. Kumar SK, Anderson KC. Immune Therapies in Multiple Myeloma. Clin Cancer Res 2016; 22:5453-5460. </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11.</w:t>
      </w:r>
      <w:r w:rsidR="00C32987" w:rsidRPr="00762774">
        <w:rPr>
          <w:rFonts w:ascii="Times New Roman" w:hAnsi="Times New Roman" w:cs="Times New Roman"/>
          <w:sz w:val="24"/>
          <w:szCs w:val="24"/>
          <w:lang w:val="en-US"/>
        </w:rPr>
        <w:t xml:space="preserve"> Dimopoulos MA, Oriol A, Nahi H, San-Miguel J, Bahlis NJ, Usmani SZ et al. Daratumumab, lenalidomide, and dexamethasone for multiple myeloma. N Engl J Med 2016; 375:1319-1331.</w:t>
      </w:r>
    </w:p>
    <w:p w:rsidR="00C32987" w:rsidRPr="00762774" w:rsidRDefault="00762774" w:rsidP="00994336">
      <w:pPr>
        <w:tabs>
          <w:tab w:val="left" w:pos="4253"/>
        </w:tabs>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12</w:t>
      </w:r>
      <w:r>
        <w:rPr>
          <w:rFonts w:ascii="Times New Roman" w:hAnsi="Times New Roman" w:cs="Times New Roman"/>
          <w:sz w:val="24"/>
          <w:szCs w:val="24"/>
          <w:lang w:val="en-US"/>
        </w:rPr>
        <w:t>.</w:t>
      </w:r>
      <w:r w:rsidRPr="00762774">
        <w:rPr>
          <w:rFonts w:ascii="Times New Roman" w:hAnsi="Times New Roman" w:cs="Times New Roman"/>
          <w:sz w:val="24"/>
          <w:szCs w:val="24"/>
          <w:lang w:val="en-US"/>
        </w:rPr>
        <w:t xml:space="preserve"> </w:t>
      </w:r>
      <w:r w:rsidR="00C32987" w:rsidRPr="00762774">
        <w:rPr>
          <w:rFonts w:ascii="Times New Roman" w:hAnsi="Times New Roman" w:cs="Times New Roman"/>
          <w:sz w:val="24"/>
          <w:szCs w:val="24"/>
          <w:lang w:val="en-US"/>
        </w:rPr>
        <w:t xml:space="preserve">Avet-Loiseau H, Bahlis NJ, Chng WJ, Masszi T, Viterbo L, Pour L et al. Ixazomib significantly prolongs progression-free survival in high-risk relapsed/refractory myeloma patient. Blood 2017; 130:2610-2618. </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13</w:t>
      </w:r>
      <w:r w:rsidR="00C32987" w:rsidRPr="00762774">
        <w:rPr>
          <w:rFonts w:ascii="Times New Roman" w:hAnsi="Times New Roman" w:cs="Times New Roman"/>
          <w:sz w:val="24"/>
          <w:szCs w:val="24"/>
          <w:lang w:val="en-US"/>
        </w:rPr>
        <w:t>. Mateos MV, Dimopoulos MA, Cavo M, Suzuki K, Jakubowiak A, Knop S et al. Daratumumab plus Bortezomib, Melphalan, and Prednisone for Untreated Myeloma. N Engl J Med 2018; 378:518-528.</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14</w:t>
      </w:r>
      <w:r w:rsidR="00C32987" w:rsidRPr="00762774">
        <w:rPr>
          <w:rFonts w:ascii="Times New Roman" w:hAnsi="Times New Roman" w:cs="Times New Roman"/>
          <w:sz w:val="24"/>
          <w:szCs w:val="24"/>
          <w:lang w:val="en-US"/>
        </w:rPr>
        <w:t>. Siegel DS, Dimopoulos MA, Ludwig H, Facon T, Goldschmidt H, Jakubowiak A, et al. Improvement in overall survival with carfizomid, lenalidomide and dexamethasone in patients with relapsed or refractory multiple myeloma J Clin Oncol 2018; 36:728-734.</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15</w:t>
      </w:r>
      <w:r w:rsidR="00C32987" w:rsidRPr="00762774">
        <w:rPr>
          <w:rFonts w:ascii="Times New Roman" w:hAnsi="Times New Roman" w:cs="Times New Roman"/>
          <w:sz w:val="24"/>
          <w:szCs w:val="24"/>
          <w:lang w:val="en-US"/>
        </w:rPr>
        <w:t>. Rollig C, Knop S, Bornhauser M. Multiple myeloma. Lancet 2015; 385:2197–2208.</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16</w:t>
      </w:r>
      <w:r w:rsidR="00C32987" w:rsidRPr="00762774">
        <w:rPr>
          <w:rFonts w:ascii="Times New Roman" w:hAnsi="Times New Roman" w:cs="Times New Roman"/>
          <w:sz w:val="24"/>
          <w:szCs w:val="24"/>
          <w:lang w:val="en-US"/>
        </w:rPr>
        <w:t>. Majithia N, Rajkumar SV, Lacy MQ, Buadi FK, Dispenzieri A, Gertz MA et al. Early relapse following initial therapy for multiple myeloma predicts poor outcomes in the era of novel agents. Leukemia 2016; 11:2208-2213.</w:t>
      </w:r>
    </w:p>
    <w:p w:rsidR="00C32987" w:rsidRPr="00762774" w:rsidRDefault="00762774" w:rsidP="00762774">
      <w:pPr>
        <w:spacing w:after="0" w:line="360" w:lineRule="auto"/>
        <w:jc w:val="both"/>
        <w:rPr>
          <w:rFonts w:ascii="Times New Roman" w:hAnsi="Times New Roman" w:cs="Times New Roman"/>
          <w:sz w:val="24"/>
          <w:szCs w:val="24"/>
          <w:lang w:val="en-US"/>
        </w:rPr>
      </w:pPr>
      <w:r w:rsidRPr="00762774">
        <w:rPr>
          <w:rFonts w:ascii="Times New Roman" w:hAnsi="Times New Roman" w:cs="Times New Roman"/>
          <w:sz w:val="24"/>
          <w:szCs w:val="24"/>
          <w:lang w:val="en-US"/>
        </w:rPr>
        <w:t>17</w:t>
      </w:r>
      <w:r w:rsidR="00C32987" w:rsidRPr="00762774">
        <w:rPr>
          <w:rFonts w:ascii="Times New Roman" w:hAnsi="Times New Roman" w:cs="Times New Roman"/>
          <w:sz w:val="24"/>
          <w:szCs w:val="24"/>
          <w:lang w:val="en-US"/>
        </w:rPr>
        <w:t xml:space="preserve">. Chim CS, Kumar SK, Orlowski RZ, Cook G, Richardson PG, Gertz MA et al.  Management of relapsed and refractory multiple myeloma: novel agents, antibodies, immunotherapies and beyond. Leukemia 2018; 32:252-262. </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18</w:t>
      </w:r>
      <w:r w:rsidR="00C32987" w:rsidRPr="00A449AA">
        <w:rPr>
          <w:rFonts w:ascii="Times New Roman" w:hAnsi="Times New Roman" w:cs="Times New Roman"/>
          <w:sz w:val="24"/>
          <w:szCs w:val="24"/>
          <w:lang w:val="en-US"/>
        </w:rPr>
        <w:t>. Rawstron AC, Davies FE, DasGupta R, Ashcroft AJ, Patmore R, Drayson MT et al. Flow cytometric disease monitoring in multiple myeloma: the relationship between normal and neoplastic plasma cells predicts outcome after transplantation. Blood 2002; 100: 3095–3100.</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19</w:t>
      </w:r>
      <w:r w:rsidR="00C32987" w:rsidRPr="00A449AA">
        <w:rPr>
          <w:rFonts w:ascii="Times New Roman" w:hAnsi="Times New Roman" w:cs="Times New Roman"/>
          <w:sz w:val="24"/>
          <w:szCs w:val="24"/>
          <w:lang w:val="en-US"/>
        </w:rPr>
        <w:t xml:space="preserve">. Paiva B, Martinez-Lopez J, Vidriales MB, Mateos MV, Montalban MA, Fernandez-Redondo E et al. Comparison of immunofixation, serum free light chain, </w:t>
      </w:r>
      <w:r w:rsidR="00C32987" w:rsidRPr="00A449AA">
        <w:rPr>
          <w:rFonts w:ascii="Times New Roman" w:hAnsi="Times New Roman" w:cs="Times New Roman"/>
          <w:sz w:val="24"/>
          <w:szCs w:val="24"/>
          <w:lang w:val="en-US"/>
        </w:rPr>
        <w:lastRenderedPageBreak/>
        <w:t>and immunophenotyping for response evaluation and prognostication in multiple myeloma. J Clin Oncol 2011; 29:1627–1633.</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20</w:t>
      </w:r>
      <w:r w:rsidR="00C32987" w:rsidRPr="00A449AA">
        <w:rPr>
          <w:rFonts w:ascii="Times New Roman" w:hAnsi="Times New Roman" w:cs="Times New Roman"/>
          <w:sz w:val="24"/>
          <w:szCs w:val="24"/>
          <w:lang w:val="en-US"/>
        </w:rPr>
        <w:t>. Paiva B, Gutierrez NC, Rosinol L, Vidriales MB, Montalban MA, Martinez-Lopez J et al. High-risk cytogenetics and persistent minimal residual disease by multiparameter flow cytometry predict unsustained complete response after autologous stem cell transplantation in multiple myeloma. Blood 2012; 119:687–691.</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21</w:t>
      </w:r>
      <w:r w:rsidR="00C32987" w:rsidRPr="00A449AA">
        <w:rPr>
          <w:rFonts w:ascii="Times New Roman" w:hAnsi="Times New Roman" w:cs="Times New Roman"/>
          <w:sz w:val="24"/>
          <w:szCs w:val="24"/>
          <w:lang w:val="en-US"/>
        </w:rPr>
        <w:t>. Rawstron AC, Child JA, de Tute RM, Davies FE, Gregory WM, Bell SE et al. Minimal residual disease assessed by multiparameter flow cytometry in multiple myeloma: impact on outcome in the Medical Research Council Myeloma IX Study. J Clin Oncol 2013; 31:2540–2547.</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22</w:t>
      </w:r>
      <w:r w:rsidR="00C32987" w:rsidRPr="00A449AA">
        <w:rPr>
          <w:rFonts w:ascii="Times New Roman" w:hAnsi="Times New Roman" w:cs="Times New Roman"/>
          <w:sz w:val="24"/>
          <w:szCs w:val="24"/>
          <w:lang w:val="en-US"/>
        </w:rPr>
        <w:t>. Martinez-Lopez J, Lahuerta JJ, Pepin F, Gonzalez M, Barrio S, Ayala R et al. Prognostic value of deep sequencing method for minimal residual disease detection in multiple myeloma. Blood 2014; 123:3073–3079.</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23</w:t>
      </w:r>
      <w:r w:rsidR="00C32987" w:rsidRPr="00A449AA">
        <w:rPr>
          <w:rFonts w:ascii="Times New Roman" w:hAnsi="Times New Roman" w:cs="Times New Roman"/>
          <w:sz w:val="24"/>
          <w:szCs w:val="24"/>
          <w:lang w:val="en-US"/>
        </w:rPr>
        <w:t>. Rawstron AC, Gregory WM, de Tute RM, Davies FE, Bell SE, Drayson MT et al. Minimal residual disease in myeloma by flow cytometry: independent prediction of survival benefit per log reduction. Blood 2015; 125:1932–1935.</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24</w:t>
      </w:r>
      <w:r w:rsidR="00C32987" w:rsidRPr="00A449AA">
        <w:rPr>
          <w:rFonts w:ascii="Times New Roman" w:hAnsi="Times New Roman" w:cs="Times New Roman"/>
          <w:sz w:val="24"/>
          <w:szCs w:val="24"/>
          <w:lang w:val="en-US"/>
        </w:rPr>
        <w:t>. Paiva B, Cedena MT, Puig N, Arana P, Vidriales MB, Cordon L et al. Minimal residual disease monitoring and immune profiling in multiple myeloma in elderly patients. Blood 2016; 127:3165-3174.</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25</w:t>
      </w:r>
      <w:r w:rsidR="00C32987" w:rsidRPr="00A449AA">
        <w:rPr>
          <w:rFonts w:ascii="Times New Roman" w:hAnsi="Times New Roman" w:cs="Times New Roman"/>
          <w:sz w:val="24"/>
          <w:szCs w:val="24"/>
          <w:lang w:val="en-US"/>
        </w:rPr>
        <w:t>. Flores-Montero J, Sanoja-Flores L, Paiva B, Puig N, García-Sánchez O, Böttcher S et al. Next Generation Flow for highly sensitive and standardized detection of minimal residual disease in multiple myeloma. Leukemia 2017; 31:2094-2103.</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26</w:t>
      </w:r>
      <w:r w:rsidR="00C32987" w:rsidRPr="00A449AA">
        <w:rPr>
          <w:rFonts w:ascii="Times New Roman" w:hAnsi="Times New Roman" w:cs="Times New Roman"/>
          <w:sz w:val="24"/>
          <w:szCs w:val="24"/>
          <w:lang w:val="en-US"/>
        </w:rPr>
        <w:t>. Puig N, Sarasquete ME, Balanzategui A, Martinez J, Paiva B, Garcia H et al. Critical evaluation of ASO RQ-PCR for minimal residual disease evaluation in multiple myeloma. A comparative analysis with flow cytometry. Leukemia 2014; 28:391-397.</w:t>
      </w:r>
    </w:p>
    <w:p w:rsidR="00C32987" w:rsidRPr="00A449AA"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27</w:t>
      </w:r>
      <w:r w:rsidR="00C32987" w:rsidRPr="00A449AA">
        <w:rPr>
          <w:rFonts w:ascii="Times New Roman" w:hAnsi="Times New Roman" w:cs="Times New Roman"/>
          <w:sz w:val="24"/>
          <w:szCs w:val="24"/>
          <w:lang w:val="en-US"/>
        </w:rPr>
        <w:t>. Mailankody S, Korde N, Lesokhin AM, Lendvai N, Hassoun H, Stetler-Stevenson M et al. Minimal residual disease in multiple myeloma: bringing the bench to the bedside. Nat Rev Clin Oncol 2015; 12:286-295.</w:t>
      </w:r>
    </w:p>
    <w:p w:rsidR="00C32987" w:rsidRPr="001C3891" w:rsidRDefault="00A449AA" w:rsidP="00A449AA">
      <w:pPr>
        <w:spacing w:after="0" w:line="360" w:lineRule="auto"/>
        <w:jc w:val="both"/>
        <w:rPr>
          <w:rFonts w:ascii="Times New Roman" w:hAnsi="Times New Roman" w:cs="Times New Roman"/>
          <w:sz w:val="24"/>
          <w:szCs w:val="24"/>
          <w:lang w:val="en-US"/>
        </w:rPr>
      </w:pPr>
      <w:r w:rsidRPr="00A449AA">
        <w:rPr>
          <w:rFonts w:ascii="Times New Roman" w:hAnsi="Times New Roman" w:cs="Times New Roman"/>
          <w:sz w:val="24"/>
          <w:szCs w:val="24"/>
          <w:lang w:val="en-US"/>
        </w:rPr>
        <w:t xml:space="preserve"> 28</w:t>
      </w:r>
      <w:r w:rsidR="00C32987" w:rsidRPr="00A449AA">
        <w:rPr>
          <w:rFonts w:ascii="Times New Roman" w:hAnsi="Times New Roman" w:cs="Times New Roman"/>
          <w:sz w:val="24"/>
          <w:szCs w:val="24"/>
          <w:lang w:val="en-US"/>
        </w:rPr>
        <w:t>. Ferrero S, Ladetto M, Drandi D, Cavallo F, Genuardi E, Urbano M, et al. Long-term results of the GIMEMA VEL-03-096 trial in MM patients receiving VTD consolidation after ASCT: MRD kinetics’ impact on survival. Leukemia 2015; 29:689–695.</w:t>
      </w:r>
    </w:p>
    <w:p w:rsidR="00A201A7" w:rsidRPr="00A201A7" w:rsidRDefault="00A201A7" w:rsidP="00A201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Pr="00A201A7">
        <w:rPr>
          <w:rFonts w:ascii="Times New Roman" w:hAnsi="Times New Roman" w:cs="Times New Roman"/>
          <w:sz w:val="24"/>
          <w:szCs w:val="24"/>
          <w:lang w:val="en-US"/>
        </w:rPr>
        <w:t>9</w:t>
      </w:r>
      <w:r>
        <w:rPr>
          <w:rFonts w:ascii="Times New Roman" w:hAnsi="Times New Roman" w:cs="Times New Roman"/>
          <w:sz w:val="24"/>
          <w:szCs w:val="24"/>
          <w:lang w:val="en-US"/>
        </w:rPr>
        <w:t>.</w:t>
      </w:r>
      <w:r w:rsidRPr="00A201A7">
        <w:rPr>
          <w:rFonts w:ascii="Times New Roman" w:hAnsi="Times New Roman" w:cs="Times New Roman"/>
          <w:sz w:val="24"/>
          <w:szCs w:val="24"/>
          <w:lang w:val="en-US"/>
        </w:rPr>
        <w:t xml:space="preserve"> Avet-Loiseau H. Minimal Residual Disease by Next-Generation Sequencing: Pros and Cons. Am Soc Clin Oncol Educ Book 2016; 35:e425-e430.</w:t>
      </w:r>
    </w:p>
    <w:p w:rsidR="00A201A7" w:rsidRPr="00A201A7" w:rsidRDefault="00A201A7" w:rsidP="00A201A7">
      <w:pPr>
        <w:spacing w:after="0" w:line="360" w:lineRule="auto"/>
        <w:jc w:val="both"/>
        <w:rPr>
          <w:rFonts w:ascii="Times New Roman" w:hAnsi="Times New Roman" w:cs="Times New Roman"/>
          <w:sz w:val="24"/>
          <w:szCs w:val="24"/>
          <w:lang w:val="en-US"/>
        </w:rPr>
      </w:pPr>
      <w:r w:rsidRPr="00A201A7">
        <w:rPr>
          <w:rFonts w:ascii="Times New Roman" w:hAnsi="Times New Roman" w:cs="Times New Roman"/>
          <w:sz w:val="24"/>
          <w:szCs w:val="24"/>
          <w:lang w:val="en-US"/>
        </w:rPr>
        <w:t>30</w:t>
      </w:r>
      <w:r>
        <w:rPr>
          <w:rFonts w:ascii="Times New Roman" w:hAnsi="Times New Roman" w:cs="Times New Roman"/>
          <w:sz w:val="24"/>
          <w:szCs w:val="24"/>
          <w:lang w:val="en-US"/>
        </w:rPr>
        <w:t>.</w:t>
      </w:r>
      <w:r w:rsidRPr="00A201A7">
        <w:rPr>
          <w:rFonts w:ascii="Times New Roman" w:hAnsi="Times New Roman" w:cs="Times New Roman"/>
          <w:sz w:val="24"/>
          <w:szCs w:val="24"/>
          <w:lang w:val="en-US"/>
        </w:rPr>
        <w:t xml:space="preserve"> Rawstron AC, Paiva B, Stetler-Stevenson M. Assessment of minimal residual disease in myeloma and the need for a consensus approach. Cytometry B Clin Cytom 2016; 90:21-25. </w:t>
      </w:r>
    </w:p>
    <w:p w:rsidR="00A201A7" w:rsidRDefault="00A201A7" w:rsidP="00A201A7">
      <w:pPr>
        <w:spacing w:after="0" w:line="360" w:lineRule="auto"/>
        <w:jc w:val="both"/>
        <w:rPr>
          <w:rFonts w:ascii="Times New Roman" w:hAnsi="Times New Roman" w:cs="Times New Roman"/>
          <w:sz w:val="24"/>
          <w:szCs w:val="24"/>
          <w:lang w:val="en-US"/>
        </w:rPr>
      </w:pPr>
      <w:r w:rsidRPr="00A201A7">
        <w:rPr>
          <w:rFonts w:ascii="Times New Roman" w:hAnsi="Times New Roman" w:cs="Times New Roman"/>
          <w:sz w:val="24"/>
          <w:szCs w:val="24"/>
          <w:lang w:val="en-US"/>
        </w:rPr>
        <w:t>31</w:t>
      </w:r>
      <w:r w:rsidR="001F5CEF">
        <w:rPr>
          <w:rFonts w:ascii="Times New Roman" w:hAnsi="Times New Roman" w:cs="Times New Roman"/>
          <w:sz w:val="24"/>
          <w:szCs w:val="24"/>
          <w:lang w:val="en-US"/>
        </w:rPr>
        <w:t xml:space="preserve">. </w:t>
      </w:r>
      <w:r w:rsidRPr="00A201A7">
        <w:rPr>
          <w:rFonts w:ascii="Times New Roman" w:hAnsi="Times New Roman" w:cs="Times New Roman"/>
          <w:sz w:val="24"/>
          <w:szCs w:val="24"/>
          <w:lang w:val="en-US"/>
        </w:rPr>
        <w:t>Takamatsu H. Comparison of Minimal Residual Disease Detection by Multiparameter Flow Cytometry, ASO-qPCR, Droplet Digital PCR, and Deep Sequencing in Patients with Multiple Myeloma Who Underwent Autologous Stem Cell Transplantation. J Clin Med 2017; 10:91.</w:t>
      </w:r>
    </w:p>
    <w:p w:rsidR="001F5CEF" w:rsidRPr="001F5CEF" w:rsidRDefault="001F5CEF" w:rsidP="001F5CE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Pr="001F5CEF">
        <w:rPr>
          <w:rFonts w:ascii="Times New Roman" w:hAnsi="Times New Roman" w:cs="Times New Roman"/>
          <w:sz w:val="24"/>
          <w:szCs w:val="24"/>
          <w:lang w:val="en-US"/>
        </w:rPr>
        <w:t>. San Miguel JF, Almeida J, Mateo G, Bladé J, López-Berges C, Caballero D et al. Immunophenotypic evaluation of the plasma cell compartment in multiple myeloma: a tool for comparing the efficacy of different treatment strategies and predicting outcome. Blood 2002; 99:1853–1856.</w:t>
      </w:r>
    </w:p>
    <w:p w:rsidR="001F5CEF" w:rsidRPr="001F5CEF" w:rsidRDefault="001F5CEF" w:rsidP="001F5CE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1F5CEF">
        <w:rPr>
          <w:rFonts w:ascii="Times New Roman" w:hAnsi="Times New Roman" w:cs="Times New Roman"/>
          <w:sz w:val="24"/>
          <w:szCs w:val="24"/>
          <w:lang w:val="en-US"/>
        </w:rPr>
        <w:t>. Paiva B, Vidriales M-B, Cerveró J, Mateo G, Pérez JJ, Montalbán MA et al. Multiparameter flow cytometric remission is the most relevant prognostic factor for multiple myeloma patients who undergo autologous stem cell transplantation. Blood 2008; 112:4017–4023.</w:t>
      </w:r>
    </w:p>
    <w:p w:rsidR="001F5CEF" w:rsidRPr="001F5CEF" w:rsidRDefault="001F5CEF" w:rsidP="001F5CE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Pr="001F5CEF">
        <w:rPr>
          <w:rFonts w:ascii="Times New Roman" w:hAnsi="Times New Roman" w:cs="Times New Roman"/>
          <w:sz w:val="24"/>
          <w:szCs w:val="24"/>
          <w:lang w:val="en-US"/>
        </w:rPr>
        <w:t>. Roussel M, Lauwers-Cances V, Robillard N, Hulin C, Leleu X, Benboubker L et al. Front-line transplantation program with lenalidomide, bortezomib, and dexamethasone combination as induction and consolidation followed by lenalidomide maintenance in patients with multiple myeloma: a phase II study by the Intergroupe Francophone du Myélome. J Clin Oncol 2014; 32:2712–2717.</w:t>
      </w:r>
    </w:p>
    <w:p w:rsidR="001F5CEF" w:rsidRPr="001F5CEF" w:rsidRDefault="001F5CEF" w:rsidP="001F5CE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Pr="001F5CEF">
        <w:rPr>
          <w:rFonts w:ascii="Times New Roman" w:hAnsi="Times New Roman" w:cs="Times New Roman"/>
          <w:sz w:val="24"/>
          <w:szCs w:val="24"/>
          <w:lang w:val="en-US"/>
        </w:rPr>
        <w:t>. Paiva B, Chandia M, Puig N, Vidriales M-B, Perez JJ, Lopez-Corral L et al. The prognostic value of multiparameter flow cytometry minimal residual disease assessment in relapsed multiple myeloma. Haematologica 2015; 100:e53–e55.</w:t>
      </w:r>
    </w:p>
    <w:p w:rsidR="001F5CEF" w:rsidRPr="004D4E9B" w:rsidRDefault="001F5CEF" w:rsidP="001F5CE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r w:rsidRPr="001F5CEF">
        <w:rPr>
          <w:rFonts w:ascii="Times New Roman" w:hAnsi="Times New Roman" w:cs="Times New Roman"/>
          <w:sz w:val="24"/>
          <w:szCs w:val="24"/>
          <w:lang w:val="en-US"/>
        </w:rPr>
        <w:t>. Fukumoto K, Fujisawa M, Suehara Y, Narita K-T, Usui Y, Takeuchi M et al. Prognostic impact of immunophenotypic complete response in patients with multiple myeloma achieving better than complete response. Leuk Lymphoma 2016; 57:1786–</w:t>
      </w:r>
      <w:r w:rsidRPr="004D4E9B">
        <w:rPr>
          <w:rFonts w:ascii="Times New Roman" w:hAnsi="Times New Roman" w:cs="Times New Roman"/>
          <w:sz w:val="24"/>
          <w:szCs w:val="24"/>
          <w:lang w:val="en-US"/>
        </w:rPr>
        <w:t>1792.</w:t>
      </w:r>
    </w:p>
    <w:p w:rsidR="001F5CEF" w:rsidRPr="004D4E9B" w:rsidRDefault="001F5CEF" w:rsidP="001F5CEF">
      <w:pPr>
        <w:spacing w:after="0" w:line="360" w:lineRule="auto"/>
        <w:jc w:val="both"/>
        <w:rPr>
          <w:rFonts w:ascii="Times New Roman" w:hAnsi="Times New Roman" w:cs="Times New Roman"/>
          <w:sz w:val="24"/>
          <w:szCs w:val="24"/>
          <w:lang w:val="en-US"/>
        </w:rPr>
      </w:pPr>
      <w:r w:rsidRPr="004D4E9B">
        <w:rPr>
          <w:rFonts w:ascii="Times New Roman" w:hAnsi="Times New Roman" w:cs="Times New Roman"/>
          <w:sz w:val="24"/>
          <w:szCs w:val="24"/>
          <w:lang w:val="en-US"/>
        </w:rPr>
        <w:t>37. Attal M, Lauwers-Cances V, Hulin C, Leleu X, Caillot D, Escoffre M et al. Lenalidomide, bortezomib, and dexamethasone with transplantation for myeloma. N Engl J Med 2017; 376:1311–1320.</w:t>
      </w:r>
    </w:p>
    <w:p w:rsidR="00C32987" w:rsidRPr="004D4E9B" w:rsidRDefault="001F5CEF" w:rsidP="001F5CEF">
      <w:pPr>
        <w:spacing w:after="0" w:line="360" w:lineRule="auto"/>
        <w:jc w:val="both"/>
        <w:rPr>
          <w:rFonts w:ascii="Times New Roman" w:hAnsi="Times New Roman" w:cs="Times New Roman"/>
          <w:sz w:val="24"/>
          <w:szCs w:val="24"/>
          <w:lang w:val="en-US"/>
        </w:rPr>
      </w:pPr>
      <w:r w:rsidRPr="004D4E9B">
        <w:rPr>
          <w:rFonts w:ascii="Times New Roman" w:hAnsi="Times New Roman" w:cs="Times New Roman"/>
          <w:sz w:val="24"/>
          <w:szCs w:val="24"/>
          <w:lang w:val="en-US"/>
        </w:rPr>
        <w:lastRenderedPageBreak/>
        <w:t>38</w:t>
      </w:r>
      <w:r w:rsidR="00C32987" w:rsidRPr="004D4E9B">
        <w:rPr>
          <w:rFonts w:ascii="Times New Roman" w:hAnsi="Times New Roman" w:cs="Times New Roman"/>
          <w:sz w:val="24"/>
          <w:szCs w:val="24"/>
          <w:lang w:val="en-US"/>
        </w:rPr>
        <w:t>. Barlogie B, Mitchell A, van Rhee F, Epstein J, Morgan GJ, Crowley J. Curing myeloma at last: defining criteria and providing the evidence. Blood 2014; 124:3043-3051.</w:t>
      </w:r>
    </w:p>
    <w:p w:rsidR="00C32987" w:rsidRPr="004745AE" w:rsidRDefault="004D4E9B" w:rsidP="004D4E9B">
      <w:pPr>
        <w:spacing w:after="0" w:line="360" w:lineRule="auto"/>
        <w:jc w:val="both"/>
        <w:rPr>
          <w:rFonts w:ascii="Times New Roman" w:hAnsi="Times New Roman" w:cs="Times New Roman"/>
          <w:sz w:val="24"/>
          <w:szCs w:val="24"/>
          <w:lang w:val="en-US"/>
        </w:rPr>
      </w:pPr>
      <w:r w:rsidRPr="004745AE">
        <w:rPr>
          <w:rFonts w:ascii="Times New Roman" w:hAnsi="Times New Roman" w:cs="Times New Roman"/>
          <w:sz w:val="24"/>
          <w:szCs w:val="24"/>
          <w:lang w:val="en-US"/>
        </w:rPr>
        <w:t>39</w:t>
      </w:r>
      <w:r w:rsidR="00C32987" w:rsidRPr="004745AE">
        <w:rPr>
          <w:rFonts w:ascii="Times New Roman" w:hAnsi="Times New Roman" w:cs="Times New Roman"/>
          <w:sz w:val="24"/>
          <w:szCs w:val="24"/>
          <w:lang w:val="en-US"/>
        </w:rPr>
        <w:t>. Arroz M, Came N, Lin P, Chen W, Yuan C, Lagoo A et al. Consensus guidelines on plasma cell myeloma minimal residual disease analysis and reporting. Cytometry B Clin Cytom 2016; 90:31–39.</w:t>
      </w:r>
    </w:p>
    <w:p w:rsidR="004D4E9B" w:rsidRPr="004745AE" w:rsidRDefault="004D4E9B" w:rsidP="004745AE">
      <w:pPr>
        <w:spacing w:after="0" w:line="360" w:lineRule="auto"/>
        <w:jc w:val="both"/>
        <w:rPr>
          <w:rFonts w:ascii="Times New Roman" w:hAnsi="Times New Roman" w:cs="Times New Roman"/>
          <w:sz w:val="24"/>
          <w:szCs w:val="24"/>
          <w:lang w:val="en-US"/>
        </w:rPr>
      </w:pPr>
      <w:r w:rsidRPr="004745AE">
        <w:rPr>
          <w:rFonts w:ascii="Times New Roman" w:hAnsi="Times New Roman" w:cs="Times New Roman"/>
          <w:sz w:val="24"/>
          <w:szCs w:val="24"/>
          <w:lang w:val="en-US"/>
        </w:rPr>
        <w:t>40</w:t>
      </w:r>
      <w:r w:rsidR="00C32987" w:rsidRPr="004745AE">
        <w:rPr>
          <w:rFonts w:ascii="Times New Roman" w:hAnsi="Times New Roman" w:cs="Times New Roman"/>
          <w:sz w:val="24"/>
          <w:szCs w:val="24"/>
          <w:lang w:val="en-US"/>
        </w:rPr>
        <w:t>. Flores-Montero J, de Tute R, Paiva B, Perez JJ, Böttcher S, Wind H et al. Immunophenotype of normal vs. myeloma plasma cells: toward antibody panel specifications for MRD detection in multiple myeloma. Cytomet</w:t>
      </w:r>
      <w:r w:rsidR="004745AE" w:rsidRPr="004745AE">
        <w:rPr>
          <w:rFonts w:ascii="Times New Roman" w:hAnsi="Times New Roman" w:cs="Times New Roman"/>
          <w:sz w:val="24"/>
          <w:szCs w:val="24"/>
          <w:lang w:val="en-US"/>
        </w:rPr>
        <w:t>ry B Clin Cytom 2016; 90:61–72.</w:t>
      </w:r>
    </w:p>
    <w:p w:rsidR="00C32987" w:rsidRPr="004745AE" w:rsidRDefault="004745AE" w:rsidP="00D35B54">
      <w:pPr>
        <w:spacing w:after="0" w:line="360" w:lineRule="auto"/>
        <w:jc w:val="both"/>
        <w:rPr>
          <w:rFonts w:ascii="Times New Roman" w:hAnsi="Times New Roman" w:cs="Times New Roman"/>
          <w:sz w:val="24"/>
          <w:szCs w:val="24"/>
          <w:lang w:val="en-US"/>
        </w:rPr>
      </w:pPr>
      <w:r w:rsidRPr="004745AE">
        <w:rPr>
          <w:rFonts w:ascii="Times New Roman" w:hAnsi="Times New Roman" w:cs="Times New Roman"/>
          <w:sz w:val="24"/>
          <w:szCs w:val="24"/>
          <w:lang w:val="en-US"/>
        </w:rPr>
        <w:t>41</w:t>
      </w:r>
      <w:r w:rsidR="00C32987" w:rsidRPr="004745AE">
        <w:rPr>
          <w:rFonts w:ascii="Times New Roman" w:hAnsi="Times New Roman" w:cs="Times New Roman"/>
          <w:sz w:val="24"/>
          <w:szCs w:val="24"/>
          <w:lang w:val="en-US"/>
        </w:rPr>
        <w:t>. Paiva B, Corchete LA, Vidriales MB, Puig N, Maiso P, Rodriguez I et al. Phenotypic and genomic analysis of multiple myeloma minimal residual disease tumor cells: a new model to understand chemoresistance. Blood 2016; 127:1896-1906.</w:t>
      </w:r>
    </w:p>
    <w:p w:rsidR="00C32987" w:rsidRPr="004745AE" w:rsidRDefault="004745AE" w:rsidP="00D35B54">
      <w:pPr>
        <w:spacing w:after="0" w:line="360" w:lineRule="auto"/>
        <w:jc w:val="both"/>
        <w:rPr>
          <w:rFonts w:ascii="Times New Roman" w:hAnsi="Times New Roman" w:cs="Times New Roman"/>
          <w:sz w:val="24"/>
          <w:szCs w:val="24"/>
          <w:lang w:val="en-US"/>
        </w:rPr>
      </w:pPr>
      <w:r w:rsidRPr="004745AE">
        <w:rPr>
          <w:rFonts w:ascii="Times New Roman" w:hAnsi="Times New Roman" w:cs="Times New Roman"/>
          <w:sz w:val="24"/>
          <w:szCs w:val="24"/>
          <w:lang w:val="en-US"/>
        </w:rPr>
        <w:t>42</w:t>
      </w:r>
      <w:r w:rsidR="00C32987" w:rsidRPr="004745AE">
        <w:rPr>
          <w:rFonts w:ascii="Times New Roman" w:hAnsi="Times New Roman" w:cs="Times New Roman"/>
          <w:sz w:val="24"/>
          <w:szCs w:val="24"/>
          <w:lang w:val="en-US"/>
        </w:rPr>
        <w:t xml:space="preserve">. Arana P, Paiva B, Cedena MT, Puig N, Cordon L, Vidriales MB et al. Prognostic value of antigen expression in multiple myeloma: a PETHEMA/GEM study on 1265 patients enrolled in four consecutive clinical trials. Leukemia 2018; 32:971-978. </w:t>
      </w:r>
    </w:p>
    <w:p w:rsidR="00D84351" w:rsidRPr="00E640E0" w:rsidRDefault="00D84351" w:rsidP="00C32987">
      <w:pPr>
        <w:spacing w:after="0" w:line="480" w:lineRule="auto"/>
        <w:jc w:val="both"/>
        <w:rPr>
          <w:rFonts w:ascii="Arial" w:hAnsi="Arial" w:cs="Arial"/>
          <w:sz w:val="24"/>
          <w:szCs w:val="24"/>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421323" w:rsidRDefault="00421323" w:rsidP="00D84351">
      <w:pPr>
        <w:spacing w:after="0" w:line="480" w:lineRule="auto"/>
        <w:jc w:val="center"/>
        <w:rPr>
          <w:rFonts w:ascii="Arial" w:hAnsi="Arial" w:cs="Arial"/>
          <w:b/>
          <w:sz w:val="28"/>
          <w:szCs w:val="28"/>
          <w:lang w:val="en-US"/>
        </w:rPr>
      </w:pPr>
    </w:p>
    <w:p w:rsidR="00421323" w:rsidRDefault="00421323"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E640E0" w:rsidRDefault="00E640E0" w:rsidP="00D84351">
      <w:pPr>
        <w:spacing w:after="0" w:line="480" w:lineRule="auto"/>
        <w:jc w:val="center"/>
        <w:rPr>
          <w:rFonts w:ascii="Arial" w:hAnsi="Arial" w:cs="Arial"/>
          <w:b/>
          <w:sz w:val="28"/>
          <w:szCs w:val="28"/>
          <w:lang w:val="en-US"/>
        </w:rPr>
      </w:pPr>
    </w:p>
    <w:p w:rsidR="00D84351" w:rsidRDefault="00D84351" w:rsidP="00D84351">
      <w:pPr>
        <w:spacing w:after="0" w:line="480" w:lineRule="auto"/>
        <w:jc w:val="center"/>
        <w:rPr>
          <w:rFonts w:ascii="Arial" w:hAnsi="Arial" w:cs="Arial"/>
          <w:b/>
          <w:sz w:val="28"/>
          <w:szCs w:val="28"/>
        </w:rPr>
      </w:pPr>
      <w:r w:rsidRPr="00D84351">
        <w:rPr>
          <w:rFonts w:ascii="Arial" w:hAnsi="Arial" w:cs="Arial"/>
          <w:b/>
          <w:sz w:val="28"/>
          <w:szCs w:val="28"/>
        </w:rPr>
        <w:lastRenderedPageBreak/>
        <w:t xml:space="preserve">Δημοσιεύσεις στο αντικείμενο της </w:t>
      </w:r>
      <w:r>
        <w:rPr>
          <w:rFonts w:ascii="Arial" w:hAnsi="Arial" w:cs="Arial"/>
          <w:b/>
          <w:sz w:val="28"/>
          <w:szCs w:val="28"/>
        </w:rPr>
        <w:t>Μ</w:t>
      </w:r>
      <w:r w:rsidRPr="00D84351">
        <w:rPr>
          <w:rFonts w:ascii="Arial" w:hAnsi="Arial" w:cs="Arial"/>
          <w:b/>
          <w:sz w:val="28"/>
          <w:szCs w:val="28"/>
        </w:rPr>
        <w:t>εταδι</w:t>
      </w:r>
      <w:r>
        <w:rPr>
          <w:rFonts w:ascii="Arial" w:hAnsi="Arial" w:cs="Arial"/>
          <w:b/>
          <w:sz w:val="28"/>
          <w:szCs w:val="28"/>
        </w:rPr>
        <w:t>δακτορικής Έ</w:t>
      </w:r>
      <w:r w:rsidRPr="00D84351">
        <w:rPr>
          <w:rFonts w:ascii="Arial" w:hAnsi="Arial" w:cs="Arial"/>
          <w:b/>
          <w:sz w:val="28"/>
          <w:szCs w:val="28"/>
        </w:rPr>
        <w:t>ρευνας</w:t>
      </w:r>
    </w:p>
    <w:p w:rsidR="00D84351" w:rsidRPr="00F82180" w:rsidRDefault="00D84351" w:rsidP="002747F1">
      <w:pPr>
        <w:pStyle w:val="a6"/>
        <w:numPr>
          <w:ilvl w:val="0"/>
          <w:numId w:val="2"/>
        </w:numPr>
        <w:tabs>
          <w:tab w:val="left" w:pos="284"/>
        </w:tabs>
        <w:spacing w:after="0"/>
        <w:ind w:left="0" w:hanging="11"/>
        <w:jc w:val="both"/>
        <w:rPr>
          <w:rFonts w:ascii="Times New Roman" w:hAnsi="Times New Roman" w:cs="Times New Roman"/>
          <w:sz w:val="24"/>
          <w:szCs w:val="24"/>
          <w:lang w:val="en-US"/>
        </w:rPr>
      </w:pPr>
      <w:r w:rsidRPr="00F82180">
        <w:rPr>
          <w:rFonts w:ascii="Times New Roman" w:hAnsi="Times New Roman" w:cs="Times New Roman"/>
          <w:sz w:val="24"/>
          <w:szCs w:val="24"/>
          <w:lang w:val="en-US"/>
        </w:rPr>
        <w:t>Kastritis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E</w:t>
      </w:r>
      <w:r w:rsidR="00E640E0" w:rsidRPr="00F82180">
        <w:rPr>
          <w:rFonts w:ascii="Times New Roman" w:hAnsi="Times New Roman" w:cs="Times New Roman"/>
          <w:sz w:val="24"/>
          <w:szCs w:val="24"/>
        </w:rPr>
        <w:t>*</w:t>
      </w:r>
      <w:r w:rsidRPr="00F82180">
        <w:rPr>
          <w:rFonts w:ascii="Times New Roman" w:hAnsi="Times New Roman" w:cs="Times New Roman"/>
          <w:sz w:val="24"/>
          <w:szCs w:val="24"/>
        </w:rPr>
        <w:t xml:space="preserve">, </w:t>
      </w:r>
      <w:r w:rsidRPr="00F82180">
        <w:rPr>
          <w:rFonts w:ascii="Times New Roman" w:hAnsi="Times New Roman" w:cs="Times New Roman"/>
          <w:b/>
          <w:sz w:val="24"/>
          <w:szCs w:val="24"/>
          <w:lang w:val="en-US"/>
        </w:rPr>
        <w:t>Kostopoulos</w:t>
      </w:r>
      <w:r w:rsidRPr="00F82180">
        <w:rPr>
          <w:rFonts w:ascii="Times New Roman" w:hAnsi="Times New Roman" w:cs="Times New Roman"/>
          <w:b/>
          <w:sz w:val="24"/>
          <w:szCs w:val="24"/>
        </w:rPr>
        <w:t xml:space="preserve"> </w:t>
      </w:r>
      <w:r w:rsidRPr="00F82180">
        <w:rPr>
          <w:rFonts w:ascii="Times New Roman" w:hAnsi="Times New Roman" w:cs="Times New Roman"/>
          <w:b/>
          <w:sz w:val="24"/>
          <w:szCs w:val="24"/>
          <w:lang w:val="en-US"/>
        </w:rPr>
        <w:t>IV</w:t>
      </w:r>
      <w:r w:rsidR="00E640E0" w:rsidRPr="00F82180">
        <w:rPr>
          <w:rFonts w:ascii="Times New Roman" w:hAnsi="Times New Roman" w:cs="Times New Roman"/>
          <w:b/>
          <w:sz w:val="24"/>
          <w:szCs w:val="24"/>
        </w:rPr>
        <w:t>*</w:t>
      </w:r>
      <w:r w:rsidRPr="00F82180">
        <w:rPr>
          <w:rFonts w:ascii="Times New Roman" w:hAnsi="Times New Roman" w:cs="Times New Roman"/>
          <w:b/>
          <w:sz w:val="24"/>
          <w:szCs w:val="24"/>
        </w:rPr>
        <w:t>,</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Terpos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E</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Paiva</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B</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Fotiou</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D</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Gavriatopoulou</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M</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Kanellias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N</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Ziogas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DC</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Roussou</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M</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Migkou</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M</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Eleftherakis</w:t>
      </w:r>
      <w:r w:rsidRPr="00F82180">
        <w:rPr>
          <w:rFonts w:ascii="Times New Roman" w:hAnsi="Times New Roman" w:cs="Times New Roman"/>
          <w:sz w:val="24"/>
          <w:szCs w:val="24"/>
        </w:rPr>
        <w:t>-</w:t>
      </w:r>
      <w:r w:rsidRPr="00F82180">
        <w:rPr>
          <w:rFonts w:ascii="Times New Roman" w:hAnsi="Times New Roman" w:cs="Times New Roman"/>
          <w:sz w:val="24"/>
          <w:szCs w:val="24"/>
          <w:lang w:val="en-US"/>
        </w:rPr>
        <w:t>Papaiakovou</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E</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Trougakos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IP</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Tsitsilonis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O</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Dimopoulos</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MA</w:t>
      </w:r>
      <w:r w:rsidRPr="00F82180">
        <w:rPr>
          <w:rFonts w:ascii="Times New Roman" w:hAnsi="Times New Roman" w:cs="Times New Roman"/>
          <w:sz w:val="24"/>
          <w:szCs w:val="24"/>
        </w:rPr>
        <w:t xml:space="preserve">. </w:t>
      </w:r>
      <w:r w:rsidRPr="00F82180">
        <w:rPr>
          <w:rFonts w:ascii="Times New Roman" w:hAnsi="Times New Roman" w:cs="Times New Roman"/>
          <w:sz w:val="24"/>
          <w:szCs w:val="24"/>
          <w:lang w:val="en-US"/>
        </w:rPr>
        <w:t>Evaluation of minimal residual disease using next-generation flow cytometry in patients with AL amyloidosis</w:t>
      </w:r>
      <w:r w:rsidR="00E640E0" w:rsidRPr="00F82180">
        <w:rPr>
          <w:rFonts w:ascii="Times New Roman" w:hAnsi="Times New Roman" w:cs="Times New Roman"/>
          <w:sz w:val="24"/>
          <w:szCs w:val="24"/>
          <w:lang w:val="en-US"/>
        </w:rPr>
        <w:t>. Blood Cancer J</w:t>
      </w:r>
      <w:r w:rsidRPr="00F82180">
        <w:rPr>
          <w:rFonts w:ascii="Times New Roman" w:hAnsi="Times New Roman" w:cs="Times New Roman"/>
          <w:sz w:val="24"/>
          <w:szCs w:val="24"/>
          <w:lang w:val="en-US"/>
        </w:rPr>
        <w:t xml:space="preserve"> 2018; </w:t>
      </w:r>
      <w:r w:rsidR="00E640E0" w:rsidRPr="00F82180">
        <w:rPr>
          <w:rFonts w:ascii="Times New Roman" w:hAnsi="Times New Roman" w:cs="Times New Roman"/>
          <w:sz w:val="24"/>
          <w:szCs w:val="24"/>
          <w:lang w:val="en-US"/>
        </w:rPr>
        <w:t>8(5): 46 doi: 10.1038/s41408-018-0086-3.</w:t>
      </w:r>
      <w:r w:rsidR="007F3913">
        <w:rPr>
          <w:rFonts w:ascii="Times New Roman" w:hAnsi="Times New Roman" w:cs="Times New Roman"/>
          <w:sz w:val="24"/>
          <w:szCs w:val="24"/>
          <w:lang w:val="en-US"/>
        </w:rPr>
        <w:t xml:space="preserve"> (*equal contribution)</w:t>
      </w:r>
    </w:p>
    <w:p w:rsidR="00E640E0" w:rsidRPr="002747F1" w:rsidRDefault="00E640E0" w:rsidP="00F82180">
      <w:pPr>
        <w:spacing w:after="0" w:line="360" w:lineRule="auto"/>
        <w:jc w:val="both"/>
        <w:rPr>
          <w:rFonts w:ascii="Times New Roman" w:hAnsi="Times New Roman" w:cs="Times New Roman"/>
          <w:sz w:val="12"/>
          <w:szCs w:val="12"/>
          <w:lang w:val="en-US"/>
        </w:rPr>
      </w:pPr>
    </w:p>
    <w:p w:rsidR="00F82180" w:rsidRPr="004009E9" w:rsidRDefault="00E640E0" w:rsidP="007F3913">
      <w:pPr>
        <w:shd w:val="clear" w:color="auto" w:fill="FFFFFF"/>
        <w:rPr>
          <w:rFonts w:ascii="Segoe UI" w:eastAsia="Times New Roman" w:hAnsi="Segoe UI" w:cs="Segoe UI"/>
          <w:color w:val="5B616B"/>
          <w:sz w:val="24"/>
          <w:szCs w:val="24"/>
          <w:lang w:val="en-US" w:eastAsia="el-GR"/>
        </w:rPr>
      </w:pPr>
      <w:r w:rsidRPr="00F82180">
        <w:rPr>
          <w:rFonts w:ascii="Times New Roman" w:hAnsi="Times New Roman" w:cs="Times New Roman"/>
          <w:sz w:val="24"/>
          <w:szCs w:val="24"/>
          <w:lang w:val="en-US"/>
        </w:rPr>
        <w:t>Terpos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E</w:t>
      </w:r>
      <w:r w:rsidRPr="00DF7176">
        <w:rPr>
          <w:rFonts w:ascii="Times New Roman" w:hAnsi="Times New Roman" w:cs="Times New Roman"/>
          <w:sz w:val="24"/>
          <w:szCs w:val="24"/>
          <w:lang w:val="en-US"/>
        </w:rPr>
        <w:t xml:space="preserve">*, </w:t>
      </w:r>
      <w:r w:rsidRPr="00F82180">
        <w:rPr>
          <w:rFonts w:ascii="Times New Roman" w:hAnsi="Times New Roman" w:cs="Times New Roman"/>
          <w:b/>
          <w:sz w:val="24"/>
          <w:szCs w:val="24"/>
          <w:lang w:val="en-US"/>
        </w:rPr>
        <w:t>Kostopoulos</w:t>
      </w:r>
      <w:r w:rsidRPr="00DF7176">
        <w:rPr>
          <w:rFonts w:ascii="Times New Roman" w:hAnsi="Times New Roman" w:cs="Times New Roman"/>
          <w:b/>
          <w:sz w:val="24"/>
          <w:szCs w:val="24"/>
          <w:lang w:val="en-US"/>
        </w:rPr>
        <w:t xml:space="preserve"> </w:t>
      </w:r>
      <w:r w:rsidRPr="00F82180">
        <w:rPr>
          <w:rFonts w:ascii="Times New Roman" w:hAnsi="Times New Roman" w:cs="Times New Roman"/>
          <w:b/>
          <w:sz w:val="24"/>
          <w:szCs w:val="24"/>
          <w:lang w:val="en-US"/>
        </w:rPr>
        <w:t>IV</w:t>
      </w:r>
      <w:r w:rsidRPr="00DF7176">
        <w:rPr>
          <w:rFonts w:ascii="Times New Roman" w:hAnsi="Times New Roman" w:cs="Times New Roman"/>
          <w:b/>
          <w:sz w:val="24"/>
          <w:szCs w:val="24"/>
          <w:lang w:val="en-US"/>
        </w:rPr>
        <w:t>*,</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Kastritis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E</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Ntanasis</w:t>
      </w:r>
      <w:r w:rsidRPr="00DF7176">
        <w:rPr>
          <w:rFonts w:ascii="Times New Roman" w:hAnsi="Times New Roman" w:cs="Times New Roman"/>
          <w:sz w:val="24"/>
          <w:szCs w:val="24"/>
          <w:lang w:val="en-US"/>
        </w:rPr>
        <w:t>-</w:t>
      </w:r>
      <w:r w:rsidRPr="00F82180">
        <w:rPr>
          <w:rFonts w:ascii="Times New Roman" w:hAnsi="Times New Roman" w:cs="Times New Roman"/>
          <w:sz w:val="24"/>
          <w:szCs w:val="24"/>
          <w:lang w:val="en-US"/>
        </w:rPr>
        <w:t>Stathopoulos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I</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Migkou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M</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Rousakis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P</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Argyriou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A</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Kanellias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N</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Fotiou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D</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Eleftherakis</w:t>
      </w:r>
      <w:r w:rsidRPr="00DF7176">
        <w:rPr>
          <w:rFonts w:ascii="Times New Roman" w:hAnsi="Times New Roman" w:cs="Times New Roman"/>
          <w:sz w:val="24"/>
          <w:szCs w:val="24"/>
          <w:lang w:val="en-US"/>
        </w:rPr>
        <w:t>-</w:t>
      </w:r>
      <w:r w:rsidRPr="00F82180">
        <w:rPr>
          <w:rFonts w:ascii="Times New Roman" w:hAnsi="Times New Roman" w:cs="Times New Roman"/>
          <w:sz w:val="24"/>
          <w:szCs w:val="24"/>
          <w:lang w:val="en-US"/>
        </w:rPr>
        <w:t>Papaiakovou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E</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Gavriatopoulou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M</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Ziogas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DC</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Papanota</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AM</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Spyropoulou</w:t>
      </w:r>
      <w:r w:rsidRPr="00DF7176">
        <w:rPr>
          <w:rFonts w:ascii="Times New Roman" w:hAnsi="Times New Roman" w:cs="Times New Roman"/>
          <w:sz w:val="24"/>
          <w:szCs w:val="24"/>
          <w:lang w:val="en-US"/>
        </w:rPr>
        <w:t>-</w:t>
      </w:r>
      <w:r w:rsidRPr="00F82180">
        <w:rPr>
          <w:rFonts w:ascii="Times New Roman" w:hAnsi="Times New Roman" w:cs="Times New Roman"/>
          <w:sz w:val="24"/>
          <w:szCs w:val="24"/>
          <w:lang w:val="en-US"/>
        </w:rPr>
        <w:t>Vlachou</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M</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Trougakos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IP</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Tsitsilonis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OE</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Paiva</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B</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Dimopoulos</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MA</w:t>
      </w:r>
      <w:r w:rsidRPr="00DF7176">
        <w:rPr>
          <w:rFonts w:ascii="Times New Roman" w:hAnsi="Times New Roman" w:cs="Times New Roman"/>
          <w:sz w:val="24"/>
          <w:szCs w:val="24"/>
          <w:lang w:val="en-US"/>
        </w:rPr>
        <w:t xml:space="preserve">. </w:t>
      </w:r>
      <w:r w:rsidRPr="00F82180">
        <w:rPr>
          <w:rFonts w:ascii="Times New Roman" w:hAnsi="Times New Roman" w:cs="Times New Roman"/>
          <w:sz w:val="24"/>
          <w:szCs w:val="24"/>
          <w:lang w:val="en-US"/>
        </w:rPr>
        <w:t>Impact of minimal residual disease Evaluation of minimal residual disease detection by next-generation flow cytometry in multiple myeloma patients with sustained complete remission after frontline therapy.</w:t>
      </w:r>
      <w:r w:rsidR="007F3913">
        <w:rPr>
          <w:rFonts w:ascii="Times New Roman" w:hAnsi="Times New Roman" w:cs="Times New Roman"/>
          <w:sz w:val="24"/>
          <w:szCs w:val="24"/>
          <w:lang w:val="en-US"/>
        </w:rPr>
        <w:t xml:space="preserve"> Hemasphere</w:t>
      </w:r>
      <w:r w:rsidR="007F3913" w:rsidRPr="004009E9">
        <w:rPr>
          <w:rFonts w:ascii="Times New Roman" w:hAnsi="Times New Roman" w:cs="Times New Roman"/>
          <w:sz w:val="24"/>
          <w:szCs w:val="24"/>
          <w:lang w:val="en-US"/>
        </w:rPr>
        <w:t xml:space="preserve"> 2019; 3(6):</w:t>
      </w:r>
      <w:r w:rsidR="007F3913">
        <w:rPr>
          <w:rFonts w:ascii="Times New Roman" w:hAnsi="Times New Roman" w:cs="Times New Roman"/>
          <w:sz w:val="24"/>
          <w:szCs w:val="24"/>
          <w:lang w:val="en-US"/>
        </w:rPr>
        <w:t>e</w:t>
      </w:r>
      <w:r w:rsidR="007F3913" w:rsidRPr="004009E9">
        <w:rPr>
          <w:rFonts w:ascii="Times New Roman" w:hAnsi="Times New Roman" w:cs="Times New Roman"/>
          <w:sz w:val="24"/>
          <w:szCs w:val="24"/>
          <w:lang w:val="en-US"/>
        </w:rPr>
        <w:t xml:space="preserve">300. </w:t>
      </w:r>
      <w:r w:rsidR="007F3913">
        <w:rPr>
          <w:rFonts w:ascii="Times New Roman" w:hAnsi="Times New Roman" w:cs="Times New Roman"/>
          <w:sz w:val="24"/>
          <w:szCs w:val="24"/>
          <w:lang w:val="en-US"/>
        </w:rPr>
        <w:t>Doi</w:t>
      </w:r>
      <w:r w:rsidR="007F3913" w:rsidRPr="004009E9">
        <w:rPr>
          <w:rFonts w:ascii="Times New Roman" w:hAnsi="Times New Roman" w:cs="Times New Roman"/>
          <w:sz w:val="24"/>
          <w:szCs w:val="24"/>
          <w:lang w:val="en-US"/>
        </w:rPr>
        <w:t>10.1097/</w:t>
      </w:r>
      <w:r w:rsidR="007F3913">
        <w:rPr>
          <w:rFonts w:ascii="Times New Roman" w:hAnsi="Times New Roman" w:cs="Times New Roman"/>
          <w:sz w:val="24"/>
          <w:szCs w:val="24"/>
          <w:lang w:val="en-US"/>
        </w:rPr>
        <w:t>HS</w:t>
      </w:r>
      <w:r w:rsidR="007F3913" w:rsidRPr="004009E9">
        <w:rPr>
          <w:rFonts w:ascii="Times New Roman" w:hAnsi="Times New Roman" w:cs="Times New Roman"/>
          <w:sz w:val="24"/>
          <w:szCs w:val="24"/>
          <w:lang w:val="en-US"/>
        </w:rPr>
        <w:t>9.0000000000000300.</w:t>
      </w:r>
      <w:r w:rsidR="007F3913">
        <w:rPr>
          <w:rFonts w:ascii="Times New Roman" w:hAnsi="Times New Roman" w:cs="Times New Roman"/>
          <w:sz w:val="24"/>
          <w:szCs w:val="24"/>
          <w:lang w:val="en-US"/>
        </w:rPr>
        <w:t xml:space="preserve"> eCollection (*equal contribution)</w:t>
      </w:r>
    </w:p>
    <w:p w:rsidR="00E640E0" w:rsidRPr="004009E9" w:rsidRDefault="00F82180" w:rsidP="00F82180">
      <w:pPr>
        <w:spacing w:after="0" w:line="360" w:lineRule="auto"/>
        <w:jc w:val="center"/>
        <w:rPr>
          <w:rFonts w:ascii="Arial" w:hAnsi="Arial" w:cs="Arial"/>
          <w:b/>
          <w:sz w:val="28"/>
          <w:szCs w:val="28"/>
          <w:lang w:val="en-US"/>
        </w:rPr>
      </w:pPr>
      <w:r w:rsidRPr="00F82180">
        <w:rPr>
          <w:rFonts w:ascii="Arial" w:hAnsi="Arial" w:cs="Arial"/>
          <w:b/>
          <w:sz w:val="28"/>
          <w:szCs w:val="28"/>
        </w:rPr>
        <w:t>Ομιλίες</w:t>
      </w:r>
      <w:r w:rsidRPr="004009E9">
        <w:rPr>
          <w:rFonts w:ascii="Arial" w:hAnsi="Arial" w:cs="Arial"/>
          <w:b/>
          <w:sz w:val="28"/>
          <w:szCs w:val="28"/>
          <w:lang w:val="en-US"/>
        </w:rPr>
        <w:t xml:space="preserve"> - </w:t>
      </w:r>
      <w:r w:rsidRPr="00F82180">
        <w:rPr>
          <w:rFonts w:ascii="Arial" w:hAnsi="Arial" w:cs="Arial"/>
          <w:b/>
          <w:sz w:val="28"/>
          <w:szCs w:val="28"/>
        </w:rPr>
        <w:t>Εργασίες</w:t>
      </w:r>
      <w:r w:rsidRPr="004009E9">
        <w:rPr>
          <w:rFonts w:ascii="Arial" w:hAnsi="Arial" w:cs="Arial"/>
          <w:b/>
          <w:sz w:val="28"/>
          <w:szCs w:val="28"/>
          <w:lang w:val="en-US"/>
        </w:rPr>
        <w:t xml:space="preserve"> </w:t>
      </w:r>
      <w:r w:rsidRPr="00F82180">
        <w:rPr>
          <w:rFonts w:ascii="Arial" w:hAnsi="Arial" w:cs="Arial"/>
          <w:b/>
          <w:sz w:val="28"/>
          <w:szCs w:val="28"/>
        </w:rPr>
        <w:t>σε</w:t>
      </w:r>
      <w:r w:rsidRPr="004009E9">
        <w:rPr>
          <w:rFonts w:ascii="Arial" w:hAnsi="Arial" w:cs="Arial"/>
          <w:b/>
          <w:sz w:val="28"/>
          <w:szCs w:val="28"/>
          <w:lang w:val="en-US"/>
        </w:rPr>
        <w:t xml:space="preserve"> </w:t>
      </w:r>
      <w:r w:rsidRPr="00F82180">
        <w:rPr>
          <w:rFonts w:ascii="Arial" w:hAnsi="Arial" w:cs="Arial"/>
          <w:b/>
          <w:sz w:val="28"/>
          <w:szCs w:val="28"/>
        </w:rPr>
        <w:t>Επιστημονικά</w:t>
      </w:r>
      <w:r w:rsidRPr="004009E9">
        <w:rPr>
          <w:rFonts w:ascii="Arial" w:hAnsi="Arial" w:cs="Arial"/>
          <w:b/>
          <w:sz w:val="28"/>
          <w:szCs w:val="28"/>
          <w:lang w:val="en-US"/>
        </w:rPr>
        <w:t xml:space="preserve"> </w:t>
      </w:r>
      <w:r w:rsidRPr="00F82180">
        <w:rPr>
          <w:rFonts w:ascii="Arial" w:hAnsi="Arial" w:cs="Arial"/>
          <w:b/>
          <w:sz w:val="28"/>
          <w:szCs w:val="28"/>
        </w:rPr>
        <w:t>Συνέδρια</w:t>
      </w:r>
    </w:p>
    <w:p w:rsidR="00FA5F58" w:rsidRPr="004009E9" w:rsidRDefault="00FA5F58" w:rsidP="00F82180">
      <w:pPr>
        <w:spacing w:after="0" w:line="360" w:lineRule="auto"/>
        <w:jc w:val="center"/>
        <w:rPr>
          <w:rFonts w:ascii="Arial" w:hAnsi="Arial" w:cs="Arial"/>
          <w:b/>
          <w:sz w:val="12"/>
          <w:szCs w:val="12"/>
          <w:lang w:val="en-US"/>
        </w:rPr>
      </w:pPr>
    </w:p>
    <w:p w:rsidR="00F82180" w:rsidRDefault="00F82180" w:rsidP="00FA5F58">
      <w:pPr>
        <w:pStyle w:val="a6"/>
        <w:numPr>
          <w:ilvl w:val="0"/>
          <w:numId w:val="4"/>
        </w:numPr>
        <w:spacing w:after="0"/>
        <w:ind w:left="284" w:hanging="284"/>
        <w:jc w:val="both"/>
        <w:rPr>
          <w:rFonts w:ascii="Times New Roman" w:hAnsi="Times New Roman" w:cs="Times New Roman"/>
          <w:sz w:val="24"/>
          <w:szCs w:val="24"/>
        </w:rPr>
      </w:pPr>
      <w:r w:rsidRPr="00FA5F58">
        <w:rPr>
          <w:rFonts w:ascii="Times New Roman" w:hAnsi="Times New Roman" w:cs="Times New Roman"/>
          <w:b/>
          <w:sz w:val="24"/>
          <w:szCs w:val="24"/>
        </w:rPr>
        <w:t>43</w:t>
      </w:r>
      <w:r w:rsidR="00FA5F58" w:rsidRPr="00FA5F58">
        <w:rPr>
          <w:rFonts w:ascii="Times New Roman" w:hAnsi="Times New Roman" w:cs="Times New Roman"/>
          <w:b/>
          <w:sz w:val="24"/>
          <w:szCs w:val="24"/>
          <w:vertAlign w:val="superscript"/>
        </w:rPr>
        <w:t>ο</w:t>
      </w:r>
      <w:r w:rsidRPr="00FA5F58">
        <w:rPr>
          <w:rFonts w:ascii="Times New Roman" w:hAnsi="Times New Roman" w:cs="Times New Roman"/>
          <w:b/>
          <w:sz w:val="24"/>
          <w:szCs w:val="24"/>
        </w:rPr>
        <w:t xml:space="preserve"> Ετήσιο Πανελλήνιο Ιατρικό Συνέδριο</w:t>
      </w:r>
      <w:r w:rsidRPr="00FA5F58">
        <w:rPr>
          <w:rFonts w:ascii="Times New Roman" w:hAnsi="Times New Roman" w:cs="Times New Roman"/>
          <w:sz w:val="24"/>
          <w:szCs w:val="24"/>
        </w:rPr>
        <w:t>, 10-13 Μαΐου 2017, Αθήνα</w:t>
      </w:r>
      <w:r w:rsidR="00640EEA" w:rsidRPr="00640EEA">
        <w:rPr>
          <w:rFonts w:ascii="Times New Roman" w:hAnsi="Times New Roman" w:cs="Times New Roman"/>
          <w:sz w:val="24"/>
          <w:szCs w:val="24"/>
        </w:rPr>
        <w:t>,</w:t>
      </w:r>
      <w:r w:rsidRPr="00FA5F58">
        <w:rPr>
          <w:rFonts w:ascii="Times New Roman" w:hAnsi="Times New Roman" w:cs="Times New Roman"/>
          <w:sz w:val="24"/>
          <w:szCs w:val="24"/>
        </w:rPr>
        <w:t xml:space="preserve"> με την ομιλία:</w:t>
      </w:r>
      <w:r w:rsidR="00FA5F58">
        <w:rPr>
          <w:rFonts w:ascii="Times New Roman" w:hAnsi="Times New Roman" w:cs="Times New Roman"/>
          <w:sz w:val="24"/>
          <w:szCs w:val="24"/>
        </w:rPr>
        <w:t xml:space="preserve"> </w:t>
      </w:r>
      <w:r w:rsidRPr="00FA5F58">
        <w:rPr>
          <w:rFonts w:ascii="Times New Roman" w:hAnsi="Times New Roman" w:cs="Times New Roman"/>
          <w:sz w:val="24"/>
          <w:szCs w:val="24"/>
        </w:rPr>
        <w:t xml:space="preserve">«Πολυχρωματική Κυτταρομετρία Ροής: Μία ευαίσθητη τεχνική για την ανίχνευση της </w:t>
      </w:r>
      <w:r w:rsidR="007F7636" w:rsidRPr="00FA5F58">
        <w:rPr>
          <w:rFonts w:ascii="Times New Roman" w:hAnsi="Times New Roman" w:cs="Times New Roman"/>
          <w:sz w:val="24"/>
          <w:szCs w:val="24"/>
        </w:rPr>
        <w:t>Ε</w:t>
      </w:r>
      <w:r w:rsidRPr="00FA5F58">
        <w:rPr>
          <w:rFonts w:ascii="Times New Roman" w:hAnsi="Times New Roman" w:cs="Times New Roman"/>
          <w:sz w:val="24"/>
          <w:szCs w:val="24"/>
        </w:rPr>
        <w:t>λάχιστης Υπολειμματικής νόσου στο Πολλαπλούν Μυέλωμα»</w:t>
      </w:r>
    </w:p>
    <w:p w:rsidR="00FA5F58" w:rsidRPr="002747F1" w:rsidRDefault="00FA5F58" w:rsidP="00FA5F58">
      <w:pPr>
        <w:pStyle w:val="a6"/>
        <w:spacing w:after="0"/>
        <w:ind w:left="284"/>
        <w:jc w:val="both"/>
        <w:rPr>
          <w:rFonts w:ascii="Times New Roman" w:hAnsi="Times New Roman" w:cs="Times New Roman"/>
          <w:sz w:val="12"/>
          <w:szCs w:val="12"/>
        </w:rPr>
      </w:pPr>
    </w:p>
    <w:p w:rsidR="00FA5F58" w:rsidRPr="00FA5F58" w:rsidRDefault="00F82180" w:rsidP="00FA5F58">
      <w:pPr>
        <w:pStyle w:val="a6"/>
        <w:numPr>
          <w:ilvl w:val="0"/>
          <w:numId w:val="4"/>
        </w:numPr>
        <w:spacing w:after="0"/>
        <w:ind w:left="284" w:hanging="284"/>
        <w:jc w:val="both"/>
        <w:rPr>
          <w:rFonts w:ascii="Times New Roman" w:hAnsi="Times New Roman" w:cs="Times New Roman"/>
          <w:sz w:val="24"/>
          <w:szCs w:val="24"/>
        </w:rPr>
      </w:pPr>
      <w:r w:rsidRPr="00FA5F58">
        <w:rPr>
          <w:rFonts w:ascii="Times New Roman" w:hAnsi="Times New Roman" w:cs="Times New Roman"/>
          <w:b/>
          <w:sz w:val="24"/>
          <w:szCs w:val="24"/>
          <w:lang w:val="en-US"/>
        </w:rPr>
        <w:t>Masterclass</w:t>
      </w:r>
      <w:r w:rsidRPr="00FA5F58">
        <w:rPr>
          <w:rFonts w:ascii="Times New Roman" w:hAnsi="Times New Roman" w:cs="Times New Roman"/>
          <w:b/>
          <w:sz w:val="24"/>
          <w:szCs w:val="24"/>
        </w:rPr>
        <w:t xml:space="preserve"> </w:t>
      </w:r>
      <w:r w:rsidRPr="00FA5F58">
        <w:rPr>
          <w:rFonts w:ascii="Times New Roman" w:hAnsi="Times New Roman" w:cs="Times New Roman"/>
          <w:b/>
          <w:sz w:val="24"/>
          <w:szCs w:val="24"/>
          <w:lang w:val="en-US"/>
        </w:rPr>
        <w:t>on</w:t>
      </w:r>
      <w:r w:rsidRPr="00FA5F58">
        <w:rPr>
          <w:rFonts w:ascii="Times New Roman" w:hAnsi="Times New Roman" w:cs="Times New Roman"/>
          <w:b/>
          <w:sz w:val="24"/>
          <w:szCs w:val="24"/>
        </w:rPr>
        <w:t xml:space="preserve"> </w:t>
      </w:r>
      <w:r w:rsidRPr="00FA5F58">
        <w:rPr>
          <w:rFonts w:ascii="Times New Roman" w:hAnsi="Times New Roman" w:cs="Times New Roman"/>
          <w:b/>
          <w:sz w:val="24"/>
          <w:szCs w:val="24"/>
          <w:lang w:val="en-US"/>
        </w:rPr>
        <w:t>Immuno</w:t>
      </w:r>
      <w:r w:rsidRPr="00FA5F58">
        <w:rPr>
          <w:rFonts w:ascii="Times New Roman" w:hAnsi="Times New Roman" w:cs="Times New Roman"/>
          <w:b/>
          <w:sz w:val="24"/>
          <w:szCs w:val="24"/>
        </w:rPr>
        <w:t>-</w:t>
      </w:r>
      <w:r w:rsidRPr="00FA5F58">
        <w:rPr>
          <w:rFonts w:ascii="Times New Roman" w:hAnsi="Times New Roman" w:cs="Times New Roman"/>
          <w:b/>
          <w:sz w:val="24"/>
          <w:szCs w:val="24"/>
          <w:lang w:val="en-US"/>
        </w:rPr>
        <w:t>Oncology</w:t>
      </w:r>
      <w:r w:rsidRPr="00FA5F58">
        <w:rPr>
          <w:rFonts w:ascii="Times New Roman" w:hAnsi="Times New Roman" w:cs="Times New Roman"/>
          <w:sz w:val="24"/>
          <w:szCs w:val="24"/>
        </w:rPr>
        <w:t>, 16-17 Ιουνίου, Αθήνα</w:t>
      </w:r>
      <w:r w:rsidR="00640EEA" w:rsidRPr="00640EEA">
        <w:rPr>
          <w:rFonts w:ascii="Times New Roman" w:hAnsi="Times New Roman" w:cs="Times New Roman"/>
          <w:sz w:val="24"/>
          <w:szCs w:val="24"/>
        </w:rPr>
        <w:t>,</w:t>
      </w:r>
      <w:r w:rsidRPr="00FA5F58">
        <w:rPr>
          <w:rFonts w:ascii="Times New Roman" w:hAnsi="Times New Roman" w:cs="Times New Roman"/>
          <w:sz w:val="24"/>
          <w:szCs w:val="24"/>
        </w:rPr>
        <w:t xml:space="preserve"> με την ομιλία: «Εφαρμογές της Κυτταρομετρίας Ροής στο Πολλαπλούν Μυέλωμα»</w:t>
      </w:r>
    </w:p>
    <w:p w:rsidR="00FA5F58" w:rsidRPr="002747F1" w:rsidRDefault="00FA5F58" w:rsidP="00FA5F58">
      <w:pPr>
        <w:pStyle w:val="a6"/>
        <w:spacing w:after="0"/>
        <w:ind w:left="284"/>
        <w:jc w:val="both"/>
        <w:rPr>
          <w:rFonts w:ascii="Times New Roman" w:hAnsi="Times New Roman" w:cs="Times New Roman"/>
          <w:sz w:val="12"/>
          <w:szCs w:val="12"/>
        </w:rPr>
      </w:pPr>
    </w:p>
    <w:p w:rsidR="00FA5F58" w:rsidRDefault="00111BFC" w:rsidP="00FA5F58">
      <w:pPr>
        <w:pStyle w:val="a6"/>
        <w:numPr>
          <w:ilvl w:val="0"/>
          <w:numId w:val="4"/>
        </w:numPr>
        <w:spacing w:after="0"/>
        <w:ind w:left="284" w:hanging="284"/>
        <w:jc w:val="both"/>
        <w:rPr>
          <w:rFonts w:ascii="Times New Roman" w:hAnsi="Times New Roman" w:cs="Times New Roman"/>
          <w:sz w:val="24"/>
          <w:szCs w:val="24"/>
          <w:lang w:val="en-US"/>
        </w:rPr>
      </w:pPr>
      <w:r w:rsidRPr="00111BFC">
        <w:rPr>
          <w:rFonts w:ascii="Times New Roman" w:hAnsi="Times New Roman" w:cs="Times New Roman"/>
          <w:b/>
          <w:sz w:val="24"/>
          <w:szCs w:val="24"/>
          <w:lang w:val="en-US"/>
        </w:rPr>
        <w:t xml:space="preserve">ESCCA 2017 </w:t>
      </w:r>
      <w:r>
        <w:rPr>
          <w:rFonts w:ascii="Times New Roman" w:hAnsi="Times New Roman" w:cs="Times New Roman"/>
          <w:b/>
          <w:sz w:val="24"/>
          <w:szCs w:val="24"/>
          <w:lang w:val="en-US"/>
        </w:rPr>
        <w:t>annual conference</w:t>
      </w:r>
      <w:r>
        <w:rPr>
          <w:rFonts w:ascii="Times New Roman" w:hAnsi="Times New Roman" w:cs="Times New Roman"/>
          <w:sz w:val="24"/>
          <w:szCs w:val="24"/>
          <w:lang w:val="en-US"/>
        </w:rPr>
        <w:t>, 24-27</w:t>
      </w:r>
      <w:r w:rsidRPr="00111BFC">
        <w:rPr>
          <w:rFonts w:ascii="Times New Roman" w:hAnsi="Times New Roman" w:cs="Times New Roman"/>
          <w:sz w:val="24"/>
          <w:szCs w:val="24"/>
          <w:lang w:val="en-US"/>
        </w:rPr>
        <w:t xml:space="preserve"> </w:t>
      </w:r>
      <w:r>
        <w:rPr>
          <w:rFonts w:ascii="Times New Roman" w:hAnsi="Times New Roman" w:cs="Times New Roman"/>
          <w:sz w:val="24"/>
          <w:szCs w:val="24"/>
        </w:rPr>
        <w:t>Σεπτεμβρίου</w:t>
      </w:r>
      <w:r>
        <w:rPr>
          <w:rFonts w:ascii="Times New Roman" w:hAnsi="Times New Roman" w:cs="Times New Roman"/>
          <w:sz w:val="24"/>
          <w:szCs w:val="24"/>
          <w:lang w:val="en-US"/>
        </w:rPr>
        <w:t xml:space="preserve"> 2017, Thessaloniki</w:t>
      </w:r>
      <w:r w:rsidR="00640EEA">
        <w:rPr>
          <w:rFonts w:ascii="Times New Roman" w:hAnsi="Times New Roman" w:cs="Times New Roman"/>
          <w:sz w:val="24"/>
          <w:szCs w:val="24"/>
          <w:lang w:val="en-US"/>
        </w:rPr>
        <w:t>,</w:t>
      </w:r>
      <w:r w:rsidRPr="00111BFC">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111BFC">
        <w:rPr>
          <w:rFonts w:ascii="Times New Roman" w:hAnsi="Times New Roman" w:cs="Times New Roman"/>
          <w:sz w:val="24"/>
          <w:szCs w:val="24"/>
          <w:lang w:val="en-US"/>
        </w:rPr>
        <w:t xml:space="preserve"> </w:t>
      </w:r>
      <w:r>
        <w:rPr>
          <w:rFonts w:ascii="Times New Roman" w:hAnsi="Times New Roman" w:cs="Times New Roman"/>
          <w:sz w:val="24"/>
          <w:szCs w:val="24"/>
        </w:rPr>
        <w:t>την</w:t>
      </w:r>
      <w:r w:rsidRPr="00111BFC">
        <w:rPr>
          <w:rFonts w:ascii="Times New Roman" w:hAnsi="Times New Roman" w:cs="Times New Roman"/>
          <w:sz w:val="24"/>
          <w:szCs w:val="24"/>
          <w:lang w:val="en-US"/>
        </w:rPr>
        <w:t xml:space="preserve"> </w:t>
      </w:r>
      <w:r>
        <w:rPr>
          <w:rFonts w:ascii="Times New Roman" w:hAnsi="Times New Roman" w:cs="Times New Roman"/>
          <w:sz w:val="24"/>
          <w:szCs w:val="24"/>
        </w:rPr>
        <w:t>αναρτημένη</w:t>
      </w:r>
      <w:r w:rsidRPr="00111BFC">
        <w:rPr>
          <w:rFonts w:ascii="Times New Roman" w:hAnsi="Times New Roman" w:cs="Times New Roman"/>
          <w:sz w:val="24"/>
          <w:szCs w:val="24"/>
          <w:lang w:val="en-US"/>
        </w:rPr>
        <w:t xml:space="preserve"> </w:t>
      </w:r>
      <w:r>
        <w:rPr>
          <w:rFonts w:ascii="Times New Roman" w:hAnsi="Times New Roman" w:cs="Times New Roman"/>
          <w:sz w:val="24"/>
          <w:szCs w:val="24"/>
        </w:rPr>
        <w:t>ανακοίνωση</w:t>
      </w:r>
      <w:r w:rsidRPr="00111BFC">
        <w:rPr>
          <w:rFonts w:ascii="Times New Roman" w:hAnsi="Times New Roman" w:cs="Times New Roman"/>
          <w:sz w:val="24"/>
          <w:szCs w:val="24"/>
          <w:lang w:val="en-US"/>
        </w:rPr>
        <w:t xml:space="preserve"> (</w:t>
      </w:r>
      <w:r>
        <w:rPr>
          <w:rFonts w:ascii="Times New Roman" w:hAnsi="Times New Roman" w:cs="Times New Roman"/>
          <w:sz w:val="24"/>
          <w:szCs w:val="24"/>
          <w:lang w:val="en-US"/>
        </w:rPr>
        <w:t>poster): “</w:t>
      </w:r>
      <w:r w:rsidR="00FA5F58" w:rsidRPr="00FA5F58">
        <w:rPr>
          <w:rFonts w:ascii="Times New Roman" w:hAnsi="Times New Roman" w:cs="Times New Roman"/>
          <w:sz w:val="24"/>
          <w:szCs w:val="24"/>
          <w:lang w:val="en-US"/>
        </w:rPr>
        <w:t>D</w:t>
      </w:r>
      <w:r>
        <w:rPr>
          <w:rFonts w:ascii="Times New Roman" w:hAnsi="Times New Roman" w:cs="Times New Roman"/>
          <w:sz w:val="24"/>
          <w:szCs w:val="24"/>
          <w:lang w:val="en-US"/>
        </w:rPr>
        <w:t>ifferences in the h</w:t>
      </w:r>
      <w:r w:rsidR="00FA5F58">
        <w:rPr>
          <w:rFonts w:ascii="Times New Roman" w:hAnsi="Times New Roman" w:cs="Times New Roman"/>
          <w:sz w:val="24"/>
          <w:szCs w:val="24"/>
          <w:lang w:val="en-US"/>
        </w:rPr>
        <w:t>ematopoietic profile of Multiple Myeloma patients in prolonged remissi</w:t>
      </w:r>
      <w:r>
        <w:rPr>
          <w:rFonts w:ascii="Times New Roman" w:hAnsi="Times New Roman" w:cs="Times New Roman"/>
          <w:sz w:val="24"/>
          <w:szCs w:val="24"/>
          <w:lang w:val="en-US"/>
        </w:rPr>
        <w:t>on may predict clinical outcome”</w:t>
      </w:r>
      <w:r w:rsidR="00FA5F58">
        <w:rPr>
          <w:rFonts w:ascii="Times New Roman" w:hAnsi="Times New Roman" w:cs="Times New Roman"/>
          <w:sz w:val="24"/>
          <w:szCs w:val="24"/>
          <w:lang w:val="en-US"/>
        </w:rPr>
        <w:t xml:space="preserve"> </w:t>
      </w:r>
    </w:p>
    <w:p w:rsidR="00640EEA" w:rsidRPr="00DF7176" w:rsidRDefault="00640EEA" w:rsidP="00640EEA">
      <w:pPr>
        <w:pStyle w:val="a6"/>
        <w:rPr>
          <w:rFonts w:ascii="Times New Roman" w:hAnsi="Times New Roman" w:cs="Times New Roman"/>
          <w:sz w:val="12"/>
          <w:szCs w:val="12"/>
          <w:lang w:val="en-US"/>
        </w:rPr>
      </w:pPr>
    </w:p>
    <w:p w:rsidR="00640EEA" w:rsidRPr="00FA5F58" w:rsidRDefault="00640EEA" w:rsidP="00FA5F58">
      <w:pPr>
        <w:pStyle w:val="a6"/>
        <w:numPr>
          <w:ilvl w:val="0"/>
          <w:numId w:val="4"/>
        </w:numPr>
        <w:spacing w:after="0"/>
        <w:ind w:left="284" w:hanging="284"/>
        <w:jc w:val="both"/>
        <w:rPr>
          <w:rFonts w:ascii="Times New Roman" w:hAnsi="Times New Roman" w:cs="Times New Roman"/>
          <w:sz w:val="24"/>
          <w:szCs w:val="24"/>
          <w:lang w:val="en-US"/>
        </w:rPr>
      </w:pPr>
      <w:r w:rsidRPr="00640EEA">
        <w:rPr>
          <w:rFonts w:ascii="Times New Roman" w:hAnsi="Times New Roman" w:cs="Times New Roman"/>
          <w:b/>
          <w:sz w:val="24"/>
          <w:szCs w:val="24"/>
          <w:lang w:val="en-US"/>
        </w:rPr>
        <w:t>3</w:t>
      </w:r>
      <w:r w:rsidRPr="00640EEA">
        <w:rPr>
          <w:rFonts w:ascii="Times New Roman" w:hAnsi="Times New Roman" w:cs="Times New Roman"/>
          <w:b/>
          <w:sz w:val="24"/>
          <w:szCs w:val="24"/>
          <w:vertAlign w:val="superscript"/>
          <w:lang w:val="en-US"/>
        </w:rPr>
        <w:t>rd</w:t>
      </w:r>
      <w:r w:rsidRPr="00640EEA">
        <w:rPr>
          <w:rFonts w:ascii="Times New Roman" w:hAnsi="Times New Roman" w:cs="Times New Roman"/>
          <w:b/>
          <w:sz w:val="24"/>
          <w:szCs w:val="24"/>
          <w:lang w:val="en-US"/>
        </w:rPr>
        <w:t xml:space="preserve"> Symposium on Advances in Cancer Immunology and Immunotherapy,</w:t>
      </w:r>
      <w:r>
        <w:rPr>
          <w:rFonts w:ascii="Times New Roman" w:hAnsi="Times New Roman" w:cs="Times New Roman"/>
          <w:sz w:val="24"/>
          <w:szCs w:val="24"/>
          <w:lang w:val="en-US"/>
        </w:rPr>
        <w:t xml:space="preserve"> 2-4 </w:t>
      </w:r>
      <w:r>
        <w:rPr>
          <w:rFonts w:ascii="Times New Roman" w:hAnsi="Times New Roman" w:cs="Times New Roman"/>
          <w:sz w:val="24"/>
          <w:szCs w:val="24"/>
        </w:rPr>
        <w:t>Νοεμβρίου</w:t>
      </w:r>
      <w:r w:rsidRPr="00640EEA">
        <w:rPr>
          <w:rFonts w:ascii="Times New Roman" w:hAnsi="Times New Roman" w:cs="Times New Roman"/>
          <w:sz w:val="24"/>
          <w:szCs w:val="24"/>
          <w:lang w:val="en-US"/>
        </w:rPr>
        <w:t xml:space="preserve"> 2017, </w:t>
      </w:r>
      <w:r>
        <w:rPr>
          <w:rFonts w:ascii="Times New Roman" w:hAnsi="Times New Roman" w:cs="Times New Roman"/>
          <w:sz w:val="24"/>
          <w:szCs w:val="24"/>
        </w:rPr>
        <w:t>Αθήνα</w:t>
      </w:r>
      <w:r>
        <w:rPr>
          <w:rFonts w:ascii="Times New Roman" w:hAnsi="Times New Roman" w:cs="Times New Roman"/>
          <w:sz w:val="24"/>
          <w:szCs w:val="24"/>
          <w:lang w:val="en-US"/>
        </w:rPr>
        <w:t>,</w:t>
      </w:r>
      <w:r w:rsidRPr="00640EEA">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640EEA">
        <w:rPr>
          <w:rFonts w:ascii="Times New Roman" w:hAnsi="Times New Roman" w:cs="Times New Roman"/>
          <w:sz w:val="24"/>
          <w:szCs w:val="24"/>
          <w:lang w:val="en-US"/>
        </w:rPr>
        <w:t xml:space="preserve"> </w:t>
      </w:r>
      <w:r>
        <w:rPr>
          <w:rFonts w:ascii="Times New Roman" w:hAnsi="Times New Roman" w:cs="Times New Roman"/>
          <w:sz w:val="24"/>
          <w:szCs w:val="24"/>
        </w:rPr>
        <w:t>την</w:t>
      </w:r>
      <w:r w:rsidRPr="00640EEA">
        <w:rPr>
          <w:rFonts w:ascii="Times New Roman" w:hAnsi="Times New Roman" w:cs="Times New Roman"/>
          <w:sz w:val="24"/>
          <w:szCs w:val="24"/>
          <w:lang w:val="en-US"/>
        </w:rPr>
        <w:t xml:space="preserve"> </w:t>
      </w:r>
      <w:r>
        <w:rPr>
          <w:rFonts w:ascii="Times New Roman" w:hAnsi="Times New Roman" w:cs="Times New Roman"/>
          <w:sz w:val="24"/>
          <w:szCs w:val="24"/>
        </w:rPr>
        <w:t>προφορική</w:t>
      </w:r>
      <w:r w:rsidRPr="00640EEA">
        <w:rPr>
          <w:rFonts w:ascii="Times New Roman" w:hAnsi="Times New Roman" w:cs="Times New Roman"/>
          <w:sz w:val="24"/>
          <w:szCs w:val="24"/>
          <w:lang w:val="en-US"/>
        </w:rPr>
        <w:t xml:space="preserve"> </w:t>
      </w:r>
      <w:r>
        <w:rPr>
          <w:rFonts w:ascii="Times New Roman" w:hAnsi="Times New Roman" w:cs="Times New Roman"/>
          <w:sz w:val="24"/>
          <w:szCs w:val="24"/>
        </w:rPr>
        <w:t>ανακοίνωση</w:t>
      </w:r>
      <w:r>
        <w:rPr>
          <w:rFonts w:ascii="Times New Roman" w:hAnsi="Times New Roman" w:cs="Times New Roman"/>
          <w:sz w:val="24"/>
          <w:szCs w:val="24"/>
          <w:lang w:val="en-US"/>
        </w:rPr>
        <w:t>: “Multiparametric flow Cytometry reveals different hematopoietic profiles in Multiple Myeloma patients with sustained complete remission: Correlations with Minimal Residual Disease”</w:t>
      </w:r>
    </w:p>
    <w:p w:rsidR="00F82180" w:rsidRPr="002747F1" w:rsidRDefault="00F82180" w:rsidP="00111BFC">
      <w:pPr>
        <w:pStyle w:val="a6"/>
        <w:spacing w:after="0"/>
        <w:ind w:left="284"/>
        <w:jc w:val="both"/>
        <w:rPr>
          <w:rFonts w:ascii="Times New Roman" w:hAnsi="Times New Roman" w:cs="Times New Roman"/>
          <w:sz w:val="12"/>
          <w:szCs w:val="12"/>
          <w:lang w:val="en-US"/>
        </w:rPr>
      </w:pPr>
    </w:p>
    <w:p w:rsidR="00F82180" w:rsidRPr="009509EE" w:rsidRDefault="00F82180" w:rsidP="00FA5F58">
      <w:pPr>
        <w:pStyle w:val="a6"/>
        <w:numPr>
          <w:ilvl w:val="0"/>
          <w:numId w:val="4"/>
        </w:numPr>
        <w:spacing w:after="0"/>
        <w:ind w:left="284" w:hanging="284"/>
        <w:jc w:val="both"/>
        <w:rPr>
          <w:rFonts w:ascii="Times New Roman" w:hAnsi="Times New Roman" w:cs="Times New Roman"/>
          <w:sz w:val="24"/>
          <w:szCs w:val="24"/>
        </w:rPr>
      </w:pPr>
      <w:r w:rsidRPr="002747F1">
        <w:rPr>
          <w:rFonts w:ascii="Times New Roman" w:hAnsi="Times New Roman" w:cs="Times New Roman"/>
          <w:b/>
          <w:sz w:val="24"/>
          <w:szCs w:val="24"/>
        </w:rPr>
        <w:t>28</w:t>
      </w:r>
      <w:r w:rsidR="00FA5F58" w:rsidRPr="002747F1">
        <w:rPr>
          <w:rFonts w:ascii="Times New Roman" w:hAnsi="Times New Roman" w:cs="Times New Roman"/>
          <w:b/>
          <w:sz w:val="24"/>
          <w:szCs w:val="24"/>
          <w:vertAlign w:val="superscript"/>
        </w:rPr>
        <w:t>ο</w:t>
      </w:r>
      <w:r w:rsidRPr="002747F1">
        <w:rPr>
          <w:rFonts w:ascii="Times New Roman" w:hAnsi="Times New Roman" w:cs="Times New Roman"/>
          <w:b/>
          <w:sz w:val="24"/>
          <w:szCs w:val="24"/>
        </w:rPr>
        <w:t xml:space="preserve"> Πανελλήνιο Αιματολογικό Συνέδριο,</w:t>
      </w:r>
      <w:r w:rsidRPr="002747F1">
        <w:rPr>
          <w:rFonts w:ascii="Times New Roman" w:hAnsi="Times New Roman" w:cs="Times New Roman"/>
          <w:sz w:val="24"/>
          <w:szCs w:val="24"/>
        </w:rPr>
        <w:t xml:space="preserve"> 2-4 Νοεμβρίου 2017, Αθήνα</w:t>
      </w:r>
      <w:r w:rsidR="00640EEA" w:rsidRPr="00640EEA">
        <w:rPr>
          <w:rFonts w:ascii="Times New Roman" w:hAnsi="Times New Roman" w:cs="Times New Roman"/>
          <w:sz w:val="24"/>
          <w:szCs w:val="24"/>
        </w:rPr>
        <w:t>,</w:t>
      </w:r>
      <w:r w:rsidRPr="002747F1">
        <w:rPr>
          <w:rFonts w:ascii="Times New Roman" w:hAnsi="Times New Roman" w:cs="Times New Roman"/>
          <w:sz w:val="24"/>
          <w:szCs w:val="24"/>
        </w:rPr>
        <w:t xml:space="preserve"> με την αναρτημένη ανακοίνωση</w:t>
      </w:r>
      <w:r w:rsidR="00111BFC" w:rsidRPr="002747F1">
        <w:rPr>
          <w:rFonts w:ascii="Times New Roman" w:hAnsi="Times New Roman" w:cs="Times New Roman"/>
          <w:sz w:val="24"/>
          <w:szCs w:val="24"/>
        </w:rPr>
        <w:t xml:space="preserve"> (</w:t>
      </w:r>
      <w:r w:rsidR="00111BFC" w:rsidRPr="002747F1">
        <w:rPr>
          <w:rFonts w:ascii="Times New Roman" w:hAnsi="Times New Roman" w:cs="Times New Roman"/>
          <w:sz w:val="24"/>
          <w:szCs w:val="24"/>
          <w:lang w:val="en-US"/>
        </w:rPr>
        <w:t>poster</w:t>
      </w:r>
      <w:r w:rsidR="00111BFC" w:rsidRPr="002747F1">
        <w:rPr>
          <w:rFonts w:ascii="Times New Roman" w:hAnsi="Times New Roman" w:cs="Times New Roman"/>
          <w:sz w:val="24"/>
          <w:szCs w:val="24"/>
        </w:rPr>
        <w:t>)</w:t>
      </w:r>
      <w:r w:rsidRPr="002747F1">
        <w:rPr>
          <w:rFonts w:ascii="Times New Roman" w:hAnsi="Times New Roman" w:cs="Times New Roman"/>
          <w:sz w:val="24"/>
          <w:szCs w:val="24"/>
        </w:rPr>
        <w:t xml:space="preserve">: </w:t>
      </w:r>
      <w:r w:rsidR="00111BFC" w:rsidRPr="002747F1">
        <w:rPr>
          <w:rFonts w:ascii="Times New Roman" w:hAnsi="Times New Roman" w:cs="Times New Roman"/>
          <w:sz w:val="24"/>
          <w:szCs w:val="24"/>
        </w:rPr>
        <w:t>«</w:t>
      </w:r>
      <w:r w:rsidRPr="002747F1">
        <w:rPr>
          <w:rFonts w:ascii="Times New Roman" w:hAnsi="Times New Roman" w:cs="Times New Roman"/>
          <w:sz w:val="24"/>
          <w:szCs w:val="24"/>
        </w:rPr>
        <w:t xml:space="preserve">Εφαρμογή πολυχρωματικής κυτταρομετρίας ροής Νέας </w:t>
      </w:r>
      <w:r w:rsidR="007F7636" w:rsidRPr="002747F1">
        <w:rPr>
          <w:rFonts w:ascii="Times New Roman" w:hAnsi="Times New Roman" w:cs="Times New Roman"/>
          <w:sz w:val="24"/>
          <w:szCs w:val="24"/>
        </w:rPr>
        <w:t>Γενιάς για την αξιολόγηση</w:t>
      </w:r>
      <w:r w:rsidRPr="002747F1">
        <w:rPr>
          <w:rFonts w:ascii="Times New Roman" w:hAnsi="Times New Roman" w:cs="Times New Roman"/>
          <w:sz w:val="24"/>
          <w:szCs w:val="24"/>
        </w:rPr>
        <w:t xml:space="preserve"> της Ελάχιστης </w:t>
      </w:r>
      <w:r w:rsidR="00FA5F58" w:rsidRPr="002747F1">
        <w:rPr>
          <w:rFonts w:ascii="Times New Roman" w:hAnsi="Times New Roman" w:cs="Times New Roman"/>
          <w:sz w:val="24"/>
          <w:szCs w:val="24"/>
        </w:rPr>
        <w:t>Υπολειμματικής Νόσου και του Αιμοποιητικού προφίλ ασθενών με Πολλαπλούν Μυέλωμα σε πλήρη ύφεση μετά τη πρώτη γραμμή θεραπείας</w:t>
      </w:r>
      <w:r w:rsidR="00111BFC" w:rsidRPr="002747F1">
        <w:rPr>
          <w:rFonts w:ascii="Times New Roman" w:hAnsi="Times New Roman" w:cs="Times New Roman"/>
          <w:sz w:val="24"/>
          <w:szCs w:val="24"/>
        </w:rPr>
        <w:t>»</w:t>
      </w:r>
    </w:p>
    <w:p w:rsidR="009509EE" w:rsidRPr="002F3FD7" w:rsidRDefault="009509EE" w:rsidP="009509EE">
      <w:pPr>
        <w:pStyle w:val="a6"/>
        <w:rPr>
          <w:rFonts w:ascii="Times New Roman" w:hAnsi="Times New Roman" w:cs="Times New Roman"/>
          <w:sz w:val="12"/>
          <w:szCs w:val="12"/>
        </w:rPr>
      </w:pPr>
    </w:p>
    <w:p w:rsidR="002747F1" w:rsidRDefault="002F3FD7" w:rsidP="00640EEA">
      <w:pPr>
        <w:pStyle w:val="a6"/>
        <w:numPr>
          <w:ilvl w:val="0"/>
          <w:numId w:val="4"/>
        </w:numPr>
        <w:spacing w:after="0"/>
        <w:ind w:left="284" w:hanging="284"/>
        <w:jc w:val="both"/>
        <w:rPr>
          <w:rFonts w:ascii="Times New Roman" w:hAnsi="Times New Roman" w:cs="Times New Roman"/>
          <w:sz w:val="24"/>
          <w:szCs w:val="24"/>
          <w:lang w:val="en-US"/>
        </w:rPr>
      </w:pPr>
      <w:r w:rsidRPr="002F3FD7">
        <w:rPr>
          <w:rFonts w:ascii="Times New Roman" w:hAnsi="Times New Roman" w:cs="Times New Roman"/>
          <w:b/>
          <w:sz w:val="24"/>
          <w:szCs w:val="24"/>
          <w:lang w:val="en-US"/>
        </w:rPr>
        <w:t>60</w:t>
      </w:r>
      <w:r w:rsidRPr="002F3FD7">
        <w:rPr>
          <w:rFonts w:ascii="Times New Roman" w:hAnsi="Times New Roman" w:cs="Times New Roman"/>
          <w:b/>
          <w:sz w:val="24"/>
          <w:szCs w:val="24"/>
          <w:vertAlign w:val="superscript"/>
          <w:lang w:val="en-US"/>
        </w:rPr>
        <w:t>th</w:t>
      </w:r>
      <w:r w:rsidRPr="002F3FD7">
        <w:rPr>
          <w:rFonts w:ascii="Times New Roman" w:hAnsi="Times New Roman" w:cs="Times New Roman"/>
          <w:b/>
          <w:sz w:val="24"/>
          <w:szCs w:val="24"/>
          <w:lang w:val="en-US"/>
        </w:rPr>
        <w:t xml:space="preserve"> ASH Annual Meeting</w:t>
      </w:r>
      <w:r>
        <w:rPr>
          <w:rFonts w:ascii="Times New Roman" w:hAnsi="Times New Roman" w:cs="Times New Roman"/>
          <w:sz w:val="24"/>
          <w:szCs w:val="24"/>
          <w:lang w:val="en-US"/>
        </w:rPr>
        <w:t xml:space="preserve">, 1-4 </w:t>
      </w:r>
      <w:r>
        <w:rPr>
          <w:rFonts w:ascii="Times New Roman" w:hAnsi="Times New Roman" w:cs="Times New Roman"/>
          <w:sz w:val="24"/>
          <w:szCs w:val="24"/>
        </w:rPr>
        <w:t>Δεκεμβρίου</w:t>
      </w:r>
      <w:r w:rsidRPr="002F3FD7">
        <w:rPr>
          <w:rFonts w:ascii="Times New Roman" w:hAnsi="Times New Roman" w:cs="Times New Roman"/>
          <w:sz w:val="24"/>
          <w:szCs w:val="24"/>
          <w:lang w:val="en-US"/>
        </w:rPr>
        <w:t xml:space="preserve"> 2017, </w:t>
      </w:r>
      <w:r>
        <w:rPr>
          <w:rFonts w:ascii="Times New Roman" w:hAnsi="Times New Roman" w:cs="Times New Roman"/>
          <w:sz w:val="24"/>
          <w:szCs w:val="24"/>
          <w:lang w:val="en-US"/>
        </w:rPr>
        <w:t>San Diego</w:t>
      </w:r>
      <w:r w:rsidR="00640E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2F3FD7">
        <w:rPr>
          <w:rFonts w:ascii="Times New Roman" w:hAnsi="Times New Roman" w:cs="Times New Roman"/>
          <w:sz w:val="24"/>
          <w:szCs w:val="24"/>
          <w:lang w:val="en-US"/>
        </w:rPr>
        <w:t xml:space="preserve"> </w:t>
      </w:r>
      <w:r>
        <w:rPr>
          <w:rFonts w:ascii="Times New Roman" w:hAnsi="Times New Roman" w:cs="Times New Roman"/>
          <w:sz w:val="24"/>
          <w:szCs w:val="24"/>
        </w:rPr>
        <w:t>την</w:t>
      </w:r>
      <w:r w:rsidRPr="002F3FD7">
        <w:rPr>
          <w:rFonts w:ascii="Times New Roman" w:hAnsi="Times New Roman" w:cs="Times New Roman"/>
          <w:sz w:val="24"/>
          <w:szCs w:val="24"/>
          <w:lang w:val="en-US"/>
        </w:rPr>
        <w:t xml:space="preserve"> </w:t>
      </w:r>
      <w:r>
        <w:rPr>
          <w:rFonts w:ascii="Times New Roman" w:hAnsi="Times New Roman" w:cs="Times New Roman"/>
          <w:sz w:val="24"/>
          <w:szCs w:val="24"/>
        </w:rPr>
        <w:t>αναρτημένη</w:t>
      </w:r>
      <w:r w:rsidRPr="002F3FD7">
        <w:rPr>
          <w:rFonts w:ascii="Times New Roman" w:hAnsi="Times New Roman" w:cs="Times New Roman"/>
          <w:sz w:val="24"/>
          <w:szCs w:val="24"/>
          <w:lang w:val="en-US"/>
        </w:rPr>
        <w:t xml:space="preserve"> </w:t>
      </w:r>
      <w:r>
        <w:rPr>
          <w:rFonts w:ascii="Times New Roman" w:hAnsi="Times New Roman" w:cs="Times New Roman"/>
          <w:sz w:val="24"/>
          <w:szCs w:val="24"/>
        </w:rPr>
        <w:t>ανακοίνωση</w:t>
      </w:r>
      <w:r w:rsidRPr="002F3FD7">
        <w:rPr>
          <w:rFonts w:ascii="Times New Roman" w:hAnsi="Times New Roman" w:cs="Times New Roman"/>
          <w:sz w:val="24"/>
          <w:szCs w:val="24"/>
          <w:lang w:val="en-US"/>
        </w:rPr>
        <w:t xml:space="preserve"> (</w:t>
      </w:r>
      <w:r>
        <w:rPr>
          <w:rFonts w:ascii="Times New Roman" w:hAnsi="Times New Roman" w:cs="Times New Roman"/>
          <w:sz w:val="24"/>
          <w:szCs w:val="24"/>
          <w:lang w:val="en-US"/>
        </w:rPr>
        <w:t>poster): “</w:t>
      </w:r>
      <w:r w:rsidR="009509EE">
        <w:rPr>
          <w:rFonts w:ascii="Times New Roman" w:hAnsi="Times New Roman" w:cs="Times New Roman"/>
          <w:sz w:val="24"/>
          <w:szCs w:val="24"/>
          <w:lang w:val="en-US"/>
        </w:rPr>
        <w:t>Next Generation Flow</w:t>
      </w:r>
      <w:r w:rsidR="009509EE" w:rsidRPr="009509EE">
        <w:rPr>
          <w:rFonts w:ascii="Times New Roman" w:hAnsi="Times New Roman" w:cs="Times New Roman"/>
          <w:sz w:val="24"/>
          <w:szCs w:val="24"/>
          <w:lang w:val="en-US"/>
        </w:rPr>
        <w:t xml:space="preserve"> Cytometry fo</w:t>
      </w:r>
      <w:r w:rsidR="009509EE">
        <w:rPr>
          <w:rFonts w:ascii="Times New Roman" w:hAnsi="Times New Roman" w:cs="Times New Roman"/>
          <w:sz w:val="24"/>
          <w:szCs w:val="24"/>
          <w:lang w:val="en-US"/>
        </w:rPr>
        <w:t>r Minimal Residual Disease</w:t>
      </w:r>
      <w:r w:rsidR="009509EE" w:rsidRPr="009509EE">
        <w:rPr>
          <w:rFonts w:ascii="Times New Roman" w:hAnsi="Times New Roman" w:cs="Times New Roman"/>
          <w:sz w:val="24"/>
          <w:szCs w:val="24"/>
          <w:lang w:val="en-US"/>
        </w:rPr>
        <w:t xml:space="preserve"> Evaluation in Multiple Myeloma (MM) Patients with Sustained Complete Response (CR) after Frontline Therapy: Results of a Prospective Single-Center Analysis</w:t>
      </w:r>
      <w:r>
        <w:rPr>
          <w:rFonts w:ascii="Times New Roman" w:hAnsi="Times New Roman" w:cs="Times New Roman"/>
          <w:sz w:val="24"/>
          <w:szCs w:val="24"/>
          <w:lang w:val="en-US"/>
        </w:rPr>
        <w:t>”</w:t>
      </w:r>
    </w:p>
    <w:p w:rsidR="00DF7176" w:rsidRPr="004009E9" w:rsidRDefault="00DF7176" w:rsidP="004009E9">
      <w:pPr>
        <w:spacing w:after="0"/>
        <w:ind w:right="-58"/>
        <w:jc w:val="both"/>
        <w:rPr>
          <w:rFonts w:ascii="Times New Roman" w:hAnsi="Times New Roman" w:cs="Times New Roman"/>
          <w:sz w:val="24"/>
          <w:szCs w:val="24"/>
          <w:lang w:val="en-US"/>
        </w:rPr>
      </w:pPr>
    </w:p>
    <w:sectPr w:rsidR="00DF7176" w:rsidRPr="004009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40E23"/>
    <w:multiLevelType w:val="hybridMultilevel"/>
    <w:tmpl w:val="FB64C6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E35E4E"/>
    <w:multiLevelType w:val="hybridMultilevel"/>
    <w:tmpl w:val="93FA646E"/>
    <w:lvl w:ilvl="0" w:tplc="8C38E43C">
      <w:start w:val="1"/>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700982"/>
    <w:multiLevelType w:val="hybridMultilevel"/>
    <w:tmpl w:val="EBD6F9A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77E557DF"/>
    <w:multiLevelType w:val="hybridMultilevel"/>
    <w:tmpl w:val="4DB479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5E"/>
    <w:rsid w:val="00023B24"/>
    <w:rsid w:val="00041C36"/>
    <w:rsid w:val="00044B17"/>
    <w:rsid w:val="00073731"/>
    <w:rsid w:val="000B294B"/>
    <w:rsid w:val="000B740D"/>
    <w:rsid w:val="00111BFC"/>
    <w:rsid w:val="00156AA0"/>
    <w:rsid w:val="00173578"/>
    <w:rsid w:val="001C3891"/>
    <w:rsid w:val="001D7737"/>
    <w:rsid w:val="001E0110"/>
    <w:rsid w:val="001F5CEF"/>
    <w:rsid w:val="00243CB6"/>
    <w:rsid w:val="002747F1"/>
    <w:rsid w:val="00284449"/>
    <w:rsid w:val="002B2959"/>
    <w:rsid w:val="002F3FD7"/>
    <w:rsid w:val="003A0707"/>
    <w:rsid w:val="004009E9"/>
    <w:rsid w:val="00421323"/>
    <w:rsid w:val="00427097"/>
    <w:rsid w:val="00434B42"/>
    <w:rsid w:val="00436F48"/>
    <w:rsid w:val="004745AE"/>
    <w:rsid w:val="004C4A97"/>
    <w:rsid w:val="004D4E9B"/>
    <w:rsid w:val="004F3A63"/>
    <w:rsid w:val="005B41C1"/>
    <w:rsid w:val="00640EEA"/>
    <w:rsid w:val="006D0ADF"/>
    <w:rsid w:val="00716CB8"/>
    <w:rsid w:val="00717321"/>
    <w:rsid w:val="00754C34"/>
    <w:rsid w:val="00762774"/>
    <w:rsid w:val="00780A22"/>
    <w:rsid w:val="007B324A"/>
    <w:rsid w:val="007D6D6B"/>
    <w:rsid w:val="007F3913"/>
    <w:rsid w:val="007F7636"/>
    <w:rsid w:val="008220CE"/>
    <w:rsid w:val="00880E0D"/>
    <w:rsid w:val="008C7604"/>
    <w:rsid w:val="00906460"/>
    <w:rsid w:val="00942824"/>
    <w:rsid w:val="009509EE"/>
    <w:rsid w:val="00957181"/>
    <w:rsid w:val="00972DFB"/>
    <w:rsid w:val="00994336"/>
    <w:rsid w:val="009B3DA9"/>
    <w:rsid w:val="009D0D4A"/>
    <w:rsid w:val="009D270A"/>
    <w:rsid w:val="00A06DAD"/>
    <w:rsid w:val="00A13BD1"/>
    <w:rsid w:val="00A14C12"/>
    <w:rsid w:val="00A201A7"/>
    <w:rsid w:val="00A4259B"/>
    <w:rsid w:val="00A449AA"/>
    <w:rsid w:val="00AE64A2"/>
    <w:rsid w:val="00AF1FDA"/>
    <w:rsid w:val="00AF6CF6"/>
    <w:rsid w:val="00B56873"/>
    <w:rsid w:val="00B70E80"/>
    <w:rsid w:val="00B90356"/>
    <w:rsid w:val="00B91DDA"/>
    <w:rsid w:val="00BE0B5E"/>
    <w:rsid w:val="00C10648"/>
    <w:rsid w:val="00C15AA1"/>
    <w:rsid w:val="00C24477"/>
    <w:rsid w:val="00C32987"/>
    <w:rsid w:val="00C94443"/>
    <w:rsid w:val="00CC360F"/>
    <w:rsid w:val="00CD5A49"/>
    <w:rsid w:val="00CD6F9A"/>
    <w:rsid w:val="00D35B54"/>
    <w:rsid w:val="00D456CB"/>
    <w:rsid w:val="00D84351"/>
    <w:rsid w:val="00DD7D90"/>
    <w:rsid w:val="00DF7176"/>
    <w:rsid w:val="00E05E66"/>
    <w:rsid w:val="00E640E0"/>
    <w:rsid w:val="00E80A12"/>
    <w:rsid w:val="00E9528A"/>
    <w:rsid w:val="00EA1012"/>
    <w:rsid w:val="00EA2190"/>
    <w:rsid w:val="00F21743"/>
    <w:rsid w:val="00F53ABC"/>
    <w:rsid w:val="00F62F35"/>
    <w:rsid w:val="00F70362"/>
    <w:rsid w:val="00F82180"/>
    <w:rsid w:val="00FA5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411DA-4B2F-4FB7-8C82-09C87504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32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32987"/>
    <w:rPr>
      <w:rFonts w:asciiTheme="majorHAnsi" w:eastAsiaTheme="majorEastAsia" w:hAnsiTheme="majorHAnsi" w:cstheme="majorBidi"/>
      <w:b/>
      <w:bCs/>
      <w:color w:val="365F91" w:themeColor="accent1" w:themeShade="BF"/>
      <w:sz w:val="28"/>
      <w:szCs w:val="28"/>
    </w:rPr>
  </w:style>
  <w:style w:type="character" w:customStyle="1" w:styleId="-HTMLChar">
    <w:name w:val="Προ-διαμορφωμένο HTML Char"/>
    <w:basedOn w:val="a0"/>
    <w:link w:val="-HTML"/>
    <w:uiPriority w:val="99"/>
    <w:rsid w:val="00C32987"/>
    <w:rPr>
      <w:rFonts w:ascii="Courier New" w:eastAsia="Times New Roman" w:hAnsi="Courier New" w:cs="Courier New"/>
      <w:sz w:val="20"/>
      <w:szCs w:val="20"/>
      <w:lang w:eastAsia="el-GR"/>
    </w:rPr>
  </w:style>
  <w:style w:type="paragraph" w:styleId="-HTML">
    <w:name w:val="HTML Preformatted"/>
    <w:basedOn w:val="a"/>
    <w:link w:val="-HTMLChar"/>
    <w:uiPriority w:val="99"/>
    <w:unhideWhenUsed/>
    <w:rsid w:val="00C3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Char">
    <w:name w:val="Κεφαλίδα Char"/>
    <w:basedOn w:val="a0"/>
    <w:link w:val="a3"/>
    <w:uiPriority w:val="99"/>
    <w:rsid w:val="00C32987"/>
  </w:style>
  <w:style w:type="paragraph" w:styleId="a3">
    <w:name w:val="header"/>
    <w:basedOn w:val="a"/>
    <w:link w:val="Char"/>
    <w:uiPriority w:val="99"/>
    <w:unhideWhenUsed/>
    <w:rsid w:val="00C32987"/>
    <w:pPr>
      <w:tabs>
        <w:tab w:val="center" w:pos="4153"/>
        <w:tab w:val="right" w:pos="8306"/>
      </w:tabs>
      <w:spacing w:after="0" w:line="240" w:lineRule="auto"/>
    </w:pPr>
  </w:style>
  <w:style w:type="character" w:customStyle="1" w:styleId="Char0">
    <w:name w:val="Υποσέλιδο Char"/>
    <w:basedOn w:val="a0"/>
    <w:link w:val="a4"/>
    <w:uiPriority w:val="99"/>
    <w:rsid w:val="00C32987"/>
  </w:style>
  <w:style w:type="paragraph" w:styleId="a4">
    <w:name w:val="footer"/>
    <w:basedOn w:val="a"/>
    <w:link w:val="Char0"/>
    <w:uiPriority w:val="99"/>
    <w:unhideWhenUsed/>
    <w:rsid w:val="00C32987"/>
    <w:pPr>
      <w:tabs>
        <w:tab w:val="center" w:pos="4153"/>
        <w:tab w:val="right" w:pos="8306"/>
      </w:tabs>
      <w:spacing w:after="0" w:line="240" w:lineRule="auto"/>
    </w:pPr>
  </w:style>
  <w:style w:type="character" w:customStyle="1" w:styleId="Char1">
    <w:name w:val="Κείμενο πλαισίου Char"/>
    <w:basedOn w:val="a0"/>
    <w:link w:val="a5"/>
    <w:uiPriority w:val="99"/>
    <w:semiHidden/>
    <w:rsid w:val="00C32987"/>
    <w:rPr>
      <w:rFonts w:ascii="Tahoma" w:hAnsi="Tahoma" w:cs="Tahoma"/>
      <w:sz w:val="16"/>
      <w:szCs w:val="16"/>
    </w:rPr>
  </w:style>
  <w:style w:type="paragraph" w:styleId="a5">
    <w:name w:val="Balloon Text"/>
    <w:basedOn w:val="a"/>
    <w:link w:val="Char1"/>
    <w:uiPriority w:val="99"/>
    <w:semiHidden/>
    <w:unhideWhenUsed/>
    <w:rsid w:val="00C32987"/>
    <w:pPr>
      <w:spacing w:after="0" w:line="240" w:lineRule="auto"/>
    </w:pPr>
    <w:rPr>
      <w:rFonts w:ascii="Tahoma" w:hAnsi="Tahoma" w:cs="Tahoma"/>
      <w:sz w:val="16"/>
      <w:szCs w:val="16"/>
    </w:rPr>
  </w:style>
  <w:style w:type="character" w:styleId="-">
    <w:name w:val="Hyperlink"/>
    <w:basedOn w:val="a0"/>
    <w:uiPriority w:val="99"/>
    <w:unhideWhenUsed/>
    <w:rsid w:val="00A06DAD"/>
    <w:rPr>
      <w:color w:val="0000FF" w:themeColor="hyperlink"/>
      <w:u w:val="single"/>
    </w:rPr>
  </w:style>
  <w:style w:type="character" w:styleId="-0">
    <w:name w:val="FollowedHyperlink"/>
    <w:basedOn w:val="a0"/>
    <w:uiPriority w:val="99"/>
    <w:semiHidden/>
    <w:unhideWhenUsed/>
    <w:rsid w:val="00A06DAD"/>
    <w:rPr>
      <w:color w:val="800080" w:themeColor="followedHyperlink"/>
      <w:u w:val="single"/>
    </w:rPr>
  </w:style>
  <w:style w:type="paragraph" w:styleId="a6">
    <w:name w:val="List Paragraph"/>
    <w:basedOn w:val="a"/>
    <w:uiPriority w:val="34"/>
    <w:qFormat/>
    <w:rsid w:val="00436F48"/>
    <w:pPr>
      <w:ind w:left="720"/>
      <w:contextualSpacing/>
    </w:pPr>
  </w:style>
  <w:style w:type="character" w:styleId="a7">
    <w:name w:val="Placeholder Text"/>
    <w:basedOn w:val="a0"/>
    <w:uiPriority w:val="99"/>
    <w:semiHidden/>
    <w:rsid w:val="001E0110"/>
    <w:rPr>
      <w:color w:val="808080"/>
    </w:rPr>
  </w:style>
  <w:style w:type="paragraph" w:styleId="Web">
    <w:name w:val="Normal (Web)"/>
    <w:basedOn w:val="a"/>
    <w:uiPriority w:val="99"/>
    <w:unhideWhenUsed/>
    <w:rsid w:val="00434B4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78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80A22"/>
    <w:pPr>
      <w:spacing w:after="0" w:line="240" w:lineRule="auto"/>
    </w:pPr>
  </w:style>
  <w:style w:type="paragraph" w:styleId="aa">
    <w:name w:val="envelope return"/>
    <w:basedOn w:val="a"/>
    <w:uiPriority w:val="99"/>
    <w:semiHidden/>
    <w:unhideWhenUsed/>
    <w:rsid w:val="00DF7176"/>
    <w:pPr>
      <w:spacing w:after="0" w:line="240" w:lineRule="auto"/>
    </w:pPr>
    <w:rPr>
      <w:rFonts w:asciiTheme="majorHAnsi" w:eastAsiaTheme="majorEastAsia" w:hAnsiTheme="majorHAnsi" w:cstheme="majorBidi"/>
      <w:sz w:val="20"/>
      <w:szCs w:val="20"/>
    </w:rPr>
  </w:style>
  <w:style w:type="paragraph" w:styleId="ab">
    <w:name w:val="caption"/>
    <w:basedOn w:val="a"/>
    <w:next w:val="a"/>
    <w:uiPriority w:val="35"/>
    <w:semiHidden/>
    <w:unhideWhenUsed/>
    <w:qFormat/>
    <w:rsid w:val="00DF717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7959">
      <w:bodyDiv w:val="1"/>
      <w:marLeft w:val="0"/>
      <w:marRight w:val="0"/>
      <w:marTop w:val="0"/>
      <w:marBottom w:val="0"/>
      <w:divBdr>
        <w:top w:val="none" w:sz="0" w:space="0" w:color="auto"/>
        <w:left w:val="none" w:sz="0" w:space="0" w:color="auto"/>
        <w:bottom w:val="none" w:sz="0" w:space="0" w:color="auto"/>
        <w:right w:val="none" w:sz="0" w:space="0" w:color="auto"/>
      </w:divBdr>
      <w:divsChild>
        <w:div w:id="1475292206">
          <w:marLeft w:val="0"/>
          <w:marRight w:val="0"/>
          <w:marTop w:val="0"/>
          <w:marBottom w:val="0"/>
          <w:divBdr>
            <w:top w:val="none" w:sz="0" w:space="0" w:color="auto"/>
            <w:left w:val="none" w:sz="0" w:space="0" w:color="auto"/>
            <w:bottom w:val="none" w:sz="0" w:space="0" w:color="auto"/>
            <w:right w:val="none" w:sz="0" w:space="0" w:color="auto"/>
          </w:divBdr>
        </w:div>
      </w:divsChild>
    </w:div>
    <w:div w:id="808547370">
      <w:bodyDiv w:val="1"/>
      <w:marLeft w:val="0"/>
      <w:marRight w:val="0"/>
      <w:marTop w:val="0"/>
      <w:marBottom w:val="0"/>
      <w:divBdr>
        <w:top w:val="none" w:sz="0" w:space="0" w:color="auto"/>
        <w:left w:val="none" w:sz="0" w:space="0" w:color="auto"/>
        <w:bottom w:val="none" w:sz="0" w:space="0" w:color="auto"/>
        <w:right w:val="none" w:sz="0" w:space="0" w:color="auto"/>
      </w:divBdr>
    </w:div>
    <w:div w:id="1067193344">
      <w:bodyDiv w:val="1"/>
      <w:marLeft w:val="0"/>
      <w:marRight w:val="0"/>
      <w:marTop w:val="0"/>
      <w:marBottom w:val="0"/>
      <w:divBdr>
        <w:top w:val="none" w:sz="0" w:space="0" w:color="auto"/>
        <w:left w:val="none" w:sz="0" w:space="0" w:color="auto"/>
        <w:bottom w:val="none" w:sz="0" w:space="0" w:color="auto"/>
        <w:right w:val="none" w:sz="0" w:space="0" w:color="auto"/>
      </w:divBdr>
    </w:div>
    <w:div w:id="16160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uroflow.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23</Pages>
  <Words>6602</Words>
  <Characters>35654</Characters>
  <Application>Microsoft Office Word</Application>
  <DocSecurity>0</DocSecurity>
  <Lines>297</Lines>
  <Paragraphs>84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dc:creator>
  <cp:lastModifiedBy>Ioannis</cp:lastModifiedBy>
  <cp:revision>47</cp:revision>
  <cp:lastPrinted>2018-09-06T17:11:00Z</cp:lastPrinted>
  <dcterms:created xsi:type="dcterms:W3CDTF">2018-09-03T09:52:00Z</dcterms:created>
  <dcterms:modified xsi:type="dcterms:W3CDTF">2020-11-30T10:52:00Z</dcterms:modified>
</cp:coreProperties>
</file>